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4E7" w:rsidRDefault="001B24E7" w:rsidP="001B24E7">
      <w:pPr>
        <w:spacing w:line="240" w:lineRule="auto"/>
        <w:jc w:val="center"/>
        <w:rPr>
          <w:rFonts w:ascii="Arial" w:eastAsia="Times New Roman" w:hAnsi="Arial" w:cs="Arial"/>
          <w:b/>
          <w:bCs/>
          <w:sz w:val="28"/>
          <w:szCs w:val="28"/>
          <w:lang w:eastAsia="id-ID"/>
        </w:rPr>
      </w:pPr>
      <w:r w:rsidRPr="001B24E7">
        <w:rPr>
          <w:rFonts w:ascii="Arial" w:eastAsia="Times New Roman" w:hAnsi="Arial" w:cs="Arial"/>
          <w:b/>
          <w:bCs/>
          <w:sz w:val="28"/>
          <w:szCs w:val="28"/>
          <w:lang w:eastAsia="id-ID"/>
        </w:rPr>
        <w:t>IFRS VS US GAAP (General Acceptes Accounting Principle)</w:t>
      </w:r>
    </w:p>
    <w:p w:rsidR="001B24E7" w:rsidRPr="001B24E7" w:rsidRDefault="001B24E7" w:rsidP="001B24E7">
      <w:pPr>
        <w:spacing w:line="240" w:lineRule="auto"/>
        <w:jc w:val="center"/>
        <w:rPr>
          <w:rFonts w:ascii="Arial" w:eastAsia="Times New Roman" w:hAnsi="Arial" w:cs="Arial"/>
          <w:b/>
          <w:bCs/>
          <w:sz w:val="28"/>
          <w:szCs w:val="28"/>
          <w:lang w:eastAsia="id-ID"/>
        </w:rPr>
      </w:pPr>
    </w:p>
    <w:p w:rsidR="007B517D" w:rsidRPr="007B517D" w:rsidRDefault="007B517D" w:rsidP="001B24E7">
      <w:pPr>
        <w:spacing w:line="360" w:lineRule="auto"/>
        <w:jc w:val="both"/>
        <w:rPr>
          <w:rFonts w:ascii="Arial" w:eastAsia="Times New Roman" w:hAnsi="Arial" w:cs="Arial"/>
          <w:sz w:val="24"/>
          <w:szCs w:val="24"/>
          <w:lang w:eastAsia="id-ID"/>
        </w:rPr>
      </w:pPr>
      <w:r w:rsidRPr="007B517D">
        <w:rPr>
          <w:rFonts w:ascii="Arial" w:eastAsia="Times New Roman" w:hAnsi="Arial" w:cs="Arial"/>
          <w:b/>
          <w:bCs/>
          <w:sz w:val="24"/>
          <w:szCs w:val="24"/>
          <w:lang w:eastAsia="id-ID"/>
        </w:rPr>
        <w:t>International Financial Reporting Standards (IFRS)</w:t>
      </w:r>
      <w:r w:rsidRPr="007B517D">
        <w:rPr>
          <w:rFonts w:ascii="Arial" w:eastAsia="Times New Roman" w:hAnsi="Arial" w:cs="Arial"/>
          <w:sz w:val="24"/>
          <w:szCs w:val="24"/>
          <w:lang w:eastAsia="id-ID"/>
        </w:rPr>
        <w:t xml:space="preserve"> adalah standar pelaporan akuntansi dan keuangan global yan</w:t>
      </w:r>
      <w:r>
        <w:rPr>
          <w:rFonts w:ascii="Arial" w:eastAsia="Times New Roman" w:hAnsi="Arial" w:cs="Arial"/>
          <w:sz w:val="24"/>
          <w:szCs w:val="24"/>
          <w:lang w:eastAsia="id-ID"/>
        </w:rPr>
        <w:t xml:space="preserve">g diakui secara internasional. </w:t>
      </w:r>
    </w:p>
    <w:p w:rsidR="007B517D" w:rsidRPr="007B517D" w:rsidRDefault="007B517D" w:rsidP="001B24E7">
      <w:pPr>
        <w:spacing w:line="360" w:lineRule="auto"/>
        <w:jc w:val="both"/>
        <w:rPr>
          <w:rFonts w:ascii="Arial" w:eastAsia="Times New Roman" w:hAnsi="Arial" w:cs="Arial"/>
          <w:sz w:val="24"/>
          <w:szCs w:val="24"/>
          <w:lang w:eastAsia="id-ID"/>
        </w:rPr>
      </w:pPr>
      <w:r w:rsidRPr="007B517D">
        <w:rPr>
          <w:rFonts w:ascii="Arial" w:eastAsia="Times New Roman" w:hAnsi="Arial" w:cs="Arial"/>
          <w:sz w:val="24"/>
          <w:szCs w:val="24"/>
          <w:lang w:eastAsia="id-ID"/>
        </w:rPr>
        <w:t xml:space="preserve">Standar ini diterbitkan oleh </w:t>
      </w:r>
      <w:r w:rsidRPr="007B517D">
        <w:rPr>
          <w:rFonts w:ascii="Arial" w:eastAsia="Times New Roman" w:hAnsi="Arial" w:cs="Arial"/>
          <w:b/>
          <w:bCs/>
          <w:sz w:val="24"/>
          <w:szCs w:val="24"/>
          <w:lang w:eastAsia="id-ID"/>
        </w:rPr>
        <w:t>International Accounting Standards Board (IASB)</w:t>
      </w:r>
      <w:r w:rsidRPr="007B517D">
        <w:rPr>
          <w:rFonts w:ascii="Arial" w:eastAsia="Times New Roman" w:hAnsi="Arial" w:cs="Arial"/>
          <w:sz w:val="24"/>
          <w:szCs w:val="24"/>
          <w:lang w:eastAsia="id-ID"/>
        </w:rPr>
        <w:t xml:space="preserve"> di bawah naungan </w:t>
      </w:r>
      <w:r w:rsidRPr="007B517D">
        <w:rPr>
          <w:rFonts w:ascii="Arial" w:eastAsia="Times New Roman" w:hAnsi="Arial" w:cs="Arial"/>
          <w:color w:val="0000FF"/>
          <w:sz w:val="24"/>
          <w:szCs w:val="24"/>
          <w:u w:val="single"/>
          <w:lang w:eastAsia="id-ID"/>
        </w:rPr>
        <w:t>IFRS Foundation</w:t>
      </w:r>
    </w:p>
    <w:p w:rsidR="007B517D" w:rsidRPr="007B517D" w:rsidRDefault="007B517D" w:rsidP="001B24E7">
      <w:pPr>
        <w:spacing w:line="360" w:lineRule="auto"/>
        <w:jc w:val="both"/>
        <w:rPr>
          <w:rFonts w:ascii="Arial" w:eastAsia="Times New Roman" w:hAnsi="Arial" w:cs="Arial"/>
          <w:b/>
          <w:bCs/>
          <w:sz w:val="30"/>
          <w:szCs w:val="30"/>
          <w:lang w:eastAsia="id-ID"/>
        </w:rPr>
      </w:pPr>
      <w:r w:rsidRPr="007B517D">
        <w:rPr>
          <w:rFonts w:ascii="Arial" w:eastAsia="Times New Roman" w:hAnsi="Arial" w:cs="Arial"/>
          <w:b/>
          <w:bCs/>
          <w:sz w:val="30"/>
          <w:szCs w:val="30"/>
          <w:lang w:eastAsia="id-ID"/>
        </w:rPr>
        <w:t>Pengertian &amp; Tujuan Utama</w:t>
      </w:r>
    </w:p>
    <w:p w:rsidR="007B517D" w:rsidRPr="007B517D" w:rsidRDefault="007B517D" w:rsidP="001B24E7">
      <w:pPr>
        <w:numPr>
          <w:ilvl w:val="0"/>
          <w:numId w:val="1"/>
        </w:numPr>
        <w:spacing w:after="0" w:line="360" w:lineRule="auto"/>
        <w:ind w:left="0"/>
        <w:jc w:val="both"/>
        <w:rPr>
          <w:rFonts w:ascii="Arial" w:eastAsia="Times New Roman" w:hAnsi="Arial" w:cs="Arial"/>
          <w:sz w:val="24"/>
          <w:szCs w:val="24"/>
          <w:lang w:eastAsia="id-ID"/>
        </w:rPr>
      </w:pPr>
      <w:r w:rsidRPr="007B517D">
        <w:rPr>
          <w:rFonts w:ascii="Arial" w:eastAsia="Times New Roman" w:hAnsi="Arial" w:cs="Arial"/>
          <w:b/>
          <w:bCs/>
          <w:sz w:val="24"/>
          <w:szCs w:val="24"/>
          <w:lang w:eastAsia="id-ID"/>
        </w:rPr>
        <w:t>Bahasa Bisnis Global:</w:t>
      </w:r>
      <w:r w:rsidRPr="007B517D">
        <w:rPr>
          <w:rFonts w:ascii="Arial" w:eastAsia="Times New Roman" w:hAnsi="Arial" w:cs="Arial"/>
          <w:sz w:val="24"/>
          <w:szCs w:val="24"/>
          <w:lang w:eastAsia="id-ID"/>
        </w:rPr>
        <w:t xml:space="preserve"> IFRS menciptakan format laporan keuangan yang seragam, transparan, dan dapat dibandingkan di lebih dari 140 negara.</w:t>
      </w:r>
      <w:r>
        <w:rPr>
          <w:rFonts w:ascii="Arial" w:eastAsia="Times New Roman" w:hAnsi="Arial" w:cs="Arial"/>
          <w:sz w:val="24"/>
          <w:szCs w:val="24"/>
          <w:lang w:eastAsia="id-ID"/>
        </w:rPr>
        <w:t xml:space="preserve"> </w:t>
      </w:r>
    </w:p>
    <w:p w:rsidR="007B517D" w:rsidRPr="007B517D" w:rsidRDefault="007B517D" w:rsidP="001B24E7">
      <w:pPr>
        <w:numPr>
          <w:ilvl w:val="0"/>
          <w:numId w:val="1"/>
        </w:numPr>
        <w:spacing w:after="0" w:line="360" w:lineRule="auto"/>
        <w:ind w:left="0"/>
        <w:jc w:val="both"/>
        <w:rPr>
          <w:rFonts w:ascii="Arial" w:eastAsia="Times New Roman" w:hAnsi="Arial" w:cs="Arial"/>
          <w:sz w:val="24"/>
          <w:szCs w:val="24"/>
          <w:lang w:eastAsia="id-ID"/>
        </w:rPr>
      </w:pPr>
      <w:r w:rsidRPr="007B517D">
        <w:rPr>
          <w:rFonts w:ascii="Arial" w:eastAsia="Times New Roman" w:hAnsi="Arial" w:cs="Arial"/>
          <w:b/>
          <w:bCs/>
          <w:sz w:val="24"/>
          <w:szCs w:val="24"/>
          <w:lang w:eastAsia="id-ID"/>
        </w:rPr>
        <w:t>Prinsip Utama:</w:t>
      </w:r>
      <w:r w:rsidRPr="007B517D">
        <w:rPr>
          <w:rFonts w:ascii="Arial" w:eastAsia="Times New Roman" w:hAnsi="Arial" w:cs="Arial"/>
          <w:sz w:val="24"/>
          <w:szCs w:val="24"/>
          <w:lang w:eastAsia="id-ID"/>
        </w:rPr>
        <w:t xml:space="preserve"> Menggunakan prinsip nilai wajar (</w:t>
      </w:r>
      <w:r w:rsidRPr="007B517D">
        <w:rPr>
          <w:rFonts w:ascii="Arial" w:eastAsia="Times New Roman" w:hAnsi="Arial" w:cs="Arial"/>
          <w:i/>
          <w:iCs/>
          <w:sz w:val="24"/>
          <w:szCs w:val="24"/>
          <w:lang w:eastAsia="id-ID"/>
        </w:rPr>
        <w:t>fair value</w:t>
      </w:r>
      <w:r w:rsidRPr="007B517D">
        <w:rPr>
          <w:rFonts w:ascii="Arial" w:eastAsia="Times New Roman" w:hAnsi="Arial" w:cs="Arial"/>
          <w:sz w:val="24"/>
          <w:szCs w:val="24"/>
          <w:lang w:eastAsia="id-ID"/>
        </w:rPr>
        <w:t>) dan substansi ekonomi di atas bentuk hukum (</w:t>
      </w:r>
      <w:r w:rsidRPr="007B517D">
        <w:rPr>
          <w:rFonts w:ascii="Arial" w:eastAsia="Times New Roman" w:hAnsi="Arial" w:cs="Arial"/>
          <w:i/>
          <w:iCs/>
          <w:sz w:val="24"/>
          <w:szCs w:val="24"/>
          <w:lang w:eastAsia="id-ID"/>
        </w:rPr>
        <w:t>substance over form</w:t>
      </w:r>
      <w:r w:rsidRPr="007B517D">
        <w:rPr>
          <w:rFonts w:ascii="Arial" w:eastAsia="Times New Roman" w:hAnsi="Arial" w:cs="Arial"/>
          <w:sz w:val="24"/>
          <w:szCs w:val="24"/>
          <w:lang w:eastAsia="id-ID"/>
        </w:rPr>
        <w:t>).</w:t>
      </w:r>
      <w:r>
        <w:rPr>
          <w:rFonts w:ascii="Arial" w:eastAsia="Times New Roman" w:hAnsi="Arial" w:cs="Arial"/>
          <w:sz w:val="24"/>
          <w:szCs w:val="24"/>
          <w:lang w:eastAsia="id-ID"/>
        </w:rPr>
        <w:t xml:space="preserve"> </w:t>
      </w:r>
    </w:p>
    <w:p w:rsidR="007B517D" w:rsidRPr="007B517D" w:rsidRDefault="007B517D" w:rsidP="001B24E7">
      <w:pPr>
        <w:numPr>
          <w:ilvl w:val="0"/>
          <w:numId w:val="1"/>
        </w:numPr>
        <w:spacing w:after="0" w:line="360" w:lineRule="auto"/>
        <w:ind w:left="0"/>
        <w:jc w:val="both"/>
        <w:rPr>
          <w:rFonts w:ascii="Arial" w:eastAsia="Times New Roman" w:hAnsi="Arial" w:cs="Arial"/>
          <w:sz w:val="24"/>
          <w:szCs w:val="24"/>
          <w:lang w:eastAsia="id-ID"/>
        </w:rPr>
      </w:pPr>
      <w:r w:rsidRPr="007B517D">
        <w:rPr>
          <w:rFonts w:ascii="Arial" w:eastAsia="Times New Roman" w:hAnsi="Arial" w:cs="Arial"/>
          <w:b/>
          <w:bCs/>
          <w:sz w:val="24"/>
          <w:szCs w:val="24"/>
          <w:lang w:eastAsia="id-ID"/>
        </w:rPr>
        <w:t>Pengganti IAS:</w:t>
      </w:r>
      <w:r w:rsidRPr="007B517D">
        <w:rPr>
          <w:rFonts w:ascii="Arial" w:eastAsia="Times New Roman" w:hAnsi="Arial" w:cs="Arial"/>
          <w:sz w:val="24"/>
          <w:szCs w:val="24"/>
          <w:lang w:eastAsia="id-ID"/>
        </w:rPr>
        <w:t xml:space="preserve"> IFRS secara bertahap menggantikan standar lama yaitu </w:t>
      </w:r>
      <w:r w:rsidRPr="007B517D">
        <w:rPr>
          <w:rFonts w:ascii="Arial" w:eastAsia="Times New Roman" w:hAnsi="Arial" w:cs="Arial"/>
          <w:i/>
          <w:iCs/>
          <w:sz w:val="24"/>
          <w:szCs w:val="24"/>
          <w:lang w:eastAsia="id-ID"/>
        </w:rPr>
        <w:t>International Accounting Standards</w:t>
      </w:r>
      <w:r w:rsidRPr="007B517D">
        <w:rPr>
          <w:rFonts w:ascii="Arial" w:eastAsia="Times New Roman" w:hAnsi="Arial" w:cs="Arial"/>
          <w:sz w:val="24"/>
          <w:szCs w:val="24"/>
          <w:lang w:eastAsia="id-ID"/>
        </w:rPr>
        <w:t xml:space="preserve"> (IAS).</w:t>
      </w:r>
      <w:r>
        <w:rPr>
          <w:rFonts w:ascii="Arial" w:eastAsia="Times New Roman" w:hAnsi="Arial" w:cs="Arial"/>
          <w:sz w:val="24"/>
          <w:szCs w:val="24"/>
          <w:lang w:eastAsia="id-ID"/>
        </w:rPr>
        <w:t xml:space="preserve"> </w:t>
      </w:r>
    </w:p>
    <w:p w:rsidR="007B517D" w:rsidRPr="007B517D" w:rsidRDefault="007B517D" w:rsidP="001B24E7">
      <w:pPr>
        <w:spacing w:line="360" w:lineRule="auto"/>
        <w:jc w:val="both"/>
        <w:rPr>
          <w:rFonts w:ascii="Arial" w:eastAsia="Times New Roman" w:hAnsi="Arial" w:cs="Arial"/>
          <w:b/>
          <w:bCs/>
          <w:sz w:val="30"/>
          <w:szCs w:val="30"/>
          <w:lang w:eastAsia="id-ID"/>
        </w:rPr>
      </w:pPr>
      <w:r w:rsidRPr="007B517D">
        <w:rPr>
          <w:rFonts w:ascii="Arial" w:eastAsia="Times New Roman" w:hAnsi="Arial" w:cs="Arial"/>
          <w:b/>
          <w:bCs/>
          <w:sz w:val="30"/>
          <w:szCs w:val="30"/>
          <w:lang w:eastAsia="id-ID"/>
        </w:rPr>
        <w:t>Perkembangan Terbaru</w:t>
      </w:r>
    </w:p>
    <w:p w:rsidR="007B517D" w:rsidRPr="007B517D" w:rsidRDefault="007B517D" w:rsidP="001B24E7">
      <w:pPr>
        <w:numPr>
          <w:ilvl w:val="0"/>
          <w:numId w:val="2"/>
        </w:numPr>
        <w:spacing w:after="0" w:line="360" w:lineRule="auto"/>
        <w:ind w:left="0"/>
        <w:jc w:val="both"/>
        <w:rPr>
          <w:rFonts w:ascii="Arial" w:eastAsia="Times New Roman" w:hAnsi="Arial" w:cs="Arial"/>
          <w:sz w:val="24"/>
          <w:szCs w:val="24"/>
          <w:lang w:eastAsia="id-ID"/>
        </w:rPr>
      </w:pPr>
      <w:r w:rsidRPr="007B517D">
        <w:rPr>
          <w:rFonts w:ascii="Arial" w:eastAsia="Times New Roman" w:hAnsi="Arial" w:cs="Arial"/>
          <w:b/>
          <w:bCs/>
          <w:sz w:val="24"/>
          <w:szCs w:val="24"/>
          <w:lang w:eastAsia="id-ID"/>
        </w:rPr>
        <w:t>Standar Keberlanjutan (IFRS S1 &amp; S2):</w:t>
      </w:r>
      <w:r w:rsidRPr="007B517D">
        <w:rPr>
          <w:rFonts w:ascii="Arial" w:eastAsia="Times New Roman" w:hAnsi="Arial" w:cs="Arial"/>
          <w:sz w:val="24"/>
          <w:szCs w:val="24"/>
          <w:lang w:eastAsia="id-ID"/>
        </w:rPr>
        <w:t xml:space="preserve"> ISSB (</w:t>
      </w:r>
      <w:r w:rsidRPr="007B517D">
        <w:rPr>
          <w:rFonts w:ascii="Arial" w:eastAsia="Times New Roman" w:hAnsi="Arial" w:cs="Arial"/>
          <w:i/>
          <w:iCs/>
          <w:sz w:val="24"/>
          <w:szCs w:val="24"/>
          <w:lang w:eastAsia="id-ID"/>
        </w:rPr>
        <w:t>International Sustainability Standards Board</w:t>
      </w:r>
      <w:r w:rsidRPr="007B517D">
        <w:rPr>
          <w:rFonts w:ascii="Arial" w:eastAsia="Times New Roman" w:hAnsi="Arial" w:cs="Arial"/>
          <w:sz w:val="24"/>
          <w:szCs w:val="24"/>
          <w:lang w:eastAsia="id-ID"/>
        </w:rPr>
        <w:t>) merilis IFRS S1 (Pengungkapan Umum Informasi Keuangan Terkait Keberlanjutan) dan IFRS S2 (Pengungkapan Terkait Iklim) untuk mengintegrasikan aspek ESG ke dalam laporan bisnis.</w:t>
      </w:r>
      <w:r>
        <w:rPr>
          <w:rFonts w:ascii="Arial" w:eastAsia="Times New Roman" w:hAnsi="Arial" w:cs="Arial"/>
          <w:sz w:val="24"/>
          <w:szCs w:val="24"/>
          <w:lang w:eastAsia="id-ID"/>
        </w:rPr>
        <w:t xml:space="preserve"> </w:t>
      </w:r>
    </w:p>
    <w:p w:rsidR="007B517D" w:rsidRPr="007B517D" w:rsidRDefault="007B517D" w:rsidP="001B24E7">
      <w:pPr>
        <w:numPr>
          <w:ilvl w:val="0"/>
          <w:numId w:val="2"/>
        </w:numPr>
        <w:spacing w:after="0" w:line="360" w:lineRule="auto"/>
        <w:ind w:left="0"/>
        <w:jc w:val="both"/>
        <w:rPr>
          <w:rFonts w:ascii="Arial" w:eastAsia="Times New Roman" w:hAnsi="Arial" w:cs="Arial"/>
          <w:sz w:val="24"/>
          <w:szCs w:val="24"/>
          <w:lang w:eastAsia="id-ID"/>
        </w:rPr>
      </w:pPr>
      <w:r w:rsidRPr="007B517D">
        <w:rPr>
          <w:rFonts w:ascii="Arial" w:eastAsia="Times New Roman" w:hAnsi="Arial" w:cs="Arial"/>
          <w:b/>
          <w:bCs/>
          <w:sz w:val="24"/>
          <w:szCs w:val="24"/>
          <w:lang w:eastAsia="id-ID"/>
        </w:rPr>
        <w:t>Standar Industri Khusus (IFRS 17):</w:t>
      </w:r>
      <w:r w:rsidRPr="007B517D">
        <w:rPr>
          <w:rFonts w:ascii="Arial" w:eastAsia="Times New Roman" w:hAnsi="Arial" w:cs="Arial"/>
          <w:sz w:val="24"/>
          <w:szCs w:val="24"/>
          <w:lang w:eastAsia="id-ID"/>
        </w:rPr>
        <w:t xml:space="preserve"> Standar global yang mengatur pelaporan keuangan khusus untuk industri asuransi dan reasuransi.</w:t>
      </w:r>
    </w:p>
    <w:p w:rsidR="007B517D" w:rsidRPr="007B517D" w:rsidRDefault="007B517D" w:rsidP="001B24E7">
      <w:pPr>
        <w:spacing w:line="360" w:lineRule="auto"/>
        <w:jc w:val="both"/>
        <w:rPr>
          <w:rFonts w:ascii="Arial" w:eastAsia="Times New Roman" w:hAnsi="Arial" w:cs="Arial"/>
          <w:b/>
          <w:bCs/>
          <w:sz w:val="30"/>
          <w:szCs w:val="30"/>
          <w:lang w:eastAsia="id-ID"/>
        </w:rPr>
      </w:pPr>
      <w:r w:rsidRPr="007B517D">
        <w:rPr>
          <w:rFonts w:ascii="Arial" w:eastAsia="Times New Roman" w:hAnsi="Arial" w:cs="Arial"/>
          <w:b/>
          <w:bCs/>
          <w:sz w:val="30"/>
          <w:szCs w:val="30"/>
          <w:lang w:eastAsia="id-ID"/>
        </w:rPr>
        <w:t>Penerapan di Indonesia</w:t>
      </w:r>
    </w:p>
    <w:p w:rsidR="007B517D" w:rsidRPr="007B517D" w:rsidRDefault="007B517D" w:rsidP="001B24E7">
      <w:pPr>
        <w:numPr>
          <w:ilvl w:val="0"/>
          <w:numId w:val="3"/>
        </w:numPr>
        <w:spacing w:after="0" w:line="360" w:lineRule="auto"/>
        <w:ind w:left="0"/>
        <w:jc w:val="both"/>
        <w:rPr>
          <w:rFonts w:ascii="Arial" w:eastAsia="Times New Roman" w:hAnsi="Arial" w:cs="Arial"/>
          <w:sz w:val="24"/>
          <w:szCs w:val="24"/>
          <w:lang w:eastAsia="id-ID"/>
        </w:rPr>
      </w:pPr>
      <w:r w:rsidRPr="007B517D">
        <w:rPr>
          <w:rFonts w:ascii="Arial" w:eastAsia="Times New Roman" w:hAnsi="Arial" w:cs="Arial"/>
          <w:b/>
          <w:bCs/>
          <w:sz w:val="24"/>
          <w:szCs w:val="24"/>
          <w:lang w:eastAsia="id-ID"/>
        </w:rPr>
        <w:t>Konvergensi SAK:</w:t>
      </w:r>
      <w:r w:rsidRPr="007B517D">
        <w:rPr>
          <w:rFonts w:ascii="Arial" w:eastAsia="Times New Roman" w:hAnsi="Arial" w:cs="Arial"/>
          <w:sz w:val="24"/>
          <w:szCs w:val="24"/>
          <w:lang w:eastAsia="id-ID"/>
        </w:rPr>
        <w:t xml:space="preserve"> Indonesia melalui </w:t>
      </w:r>
      <w:hyperlink r:id="rId5" w:tgtFrame="_blank" w:history="1">
        <w:r w:rsidRPr="007B517D">
          <w:rPr>
            <w:rFonts w:ascii="Arial" w:eastAsia="Times New Roman" w:hAnsi="Arial" w:cs="Arial"/>
            <w:color w:val="0000FF"/>
            <w:sz w:val="24"/>
            <w:szCs w:val="24"/>
            <w:u w:val="single"/>
            <w:lang w:eastAsia="id-ID"/>
          </w:rPr>
          <w:t>Ikatan Akuntan Indonesia (IAI)</w:t>
        </w:r>
      </w:hyperlink>
      <w:r w:rsidRPr="007B517D">
        <w:rPr>
          <w:rFonts w:ascii="Arial" w:eastAsia="Times New Roman" w:hAnsi="Arial" w:cs="Arial"/>
          <w:sz w:val="24"/>
          <w:szCs w:val="24"/>
          <w:lang w:eastAsia="id-ID"/>
        </w:rPr>
        <w:t xml:space="preserve"> melakukan konvergensi IFRS secara bertahap ke dalam Standar Akuntansi Keuangan (SAK).</w:t>
      </w:r>
      <w:r>
        <w:rPr>
          <w:rFonts w:ascii="Arial" w:eastAsia="Times New Roman" w:hAnsi="Arial" w:cs="Arial"/>
          <w:sz w:val="24"/>
          <w:szCs w:val="24"/>
          <w:lang w:eastAsia="id-ID"/>
        </w:rPr>
        <w:t xml:space="preserve"> </w:t>
      </w:r>
    </w:p>
    <w:p w:rsidR="007B517D" w:rsidRPr="007B517D" w:rsidRDefault="007B517D" w:rsidP="001B24E7">
      <w:pPr>
        <w:numPr>
          <w:ilvl w:val="0"/>
          <w:numId w:val="3"/>
        </w:numPr>
        <w:spacing w:after="0" w:line="360" w:lineRule="auto"/>
        <w:ind w:left="0"/>
        <w:jc w:val="both"/>
        <w:rPr>
          <w:rFonts w:ascii="Arial" w:eastAsia="Times New Roman" w:hAnsi="Arial" w:cs="Arial"/>
          <w:sz w:val="24"/>
          <w:szCs w:val="24"/>
          <w:lang w:eastAsia="id-ID"/>
        </w:rPr>
      </w:pPr>
      <w:r w:rsidRPr="007B517D">
        <w:rPr>
          <w:rFonts w:ascii="Arial" w:eastAsia="Times New Roman" w:hAnsi="Arial" w:cs="Arial"/>
          <w:b/>
          <w:bCs/>
          <w:sz w:val="24"/>
          <w:szCs w:val="24"/>
          <w:lang w:eastAsia="id-ID"/>
        </w:rPr>
        <w:t>Adopsi Keberlanjutan:</w:t>
      </w:r>
      <w:r w:rsidRPr="007B517D">
        <w:rPr>
          <w:rFonts w:ascii="Arial" w:eastAsia="Times New Roman" w:hAnsi="Arial" w:cs="Arial"/>
          <w:sz w:val="24"/>
          <w:szCs w:val="24"/>
          <w:lang w:eastAsia="id-ID"/>
        </w:rPr>
        <w:t xml:space="preserve"> Standar IFRS S1 dan S2 di Indonesia diadopsi oleh IAI menjadi PSPK 1 dan PSPK 2, yang juga diselaraskan dengan aturan Otoritas Jasa Keuangan (OJK).</w:t>
      </w:r>
      <w:r>
        <w:rPr>
          <w:rFonts w:ascii="Arial" w:eastAsia="Times New Roman" w:hAnsi="Arial" w:cs="Arial"/>
          <w:sz w:val="24"/>
          <w:szCs w:val="24"/>
          <w:lang w:eastAsia="id-ID"/>
        </w:rPr>
        <w:t xml:space="preserve"> </w:t>
      </w:r>
    </w:p>
    <w:p w:rsidR="007B517D" w:rsidRPr="007B517D" w:rsidRDefault="007B517D" w:rsidP="001B24E7">
      <w:pPr>
        <w:spacing w:after="0" w:line="360" w:lineRule="auto"/>
        <w:jc w:val="both"/>
        <w:rPr>
          <w:rFonts w:ascii="Arial" w:eastAsia="Times New Roman" w:hAnsi="Arial" w:cs="Arial"/>
          <w:sz w:val="24"/>
          <w:szCs w:val="24"/>
          <w:lang w:eastAsia="id-ID"/>
        </w:rPr>
      </w:pPr>
    </w:p>
    <w:p w:rsidR="007B517D" w:rsidRDefault="007B517D" w:rsidP="001B24E7">
      <w:pPr>
        <w:spacing w:after="0" w:line="360" w:lineRule="auto"/>
        <w:jc w:val="both"/>
        <w:rPr>
          <w:rFonts w:ascii="Arial" w:eastAsia="Times New Roman" w:hAnsi="Arial" w:cs="Arial"/>
          <w:sz w:val="24"/>
          <w:szCs w:val="24"/>
          <w:lang w:eastAsia="id-ID"/>
        </w:rPr>
      </w:pPr>
    </w:p>
    <w:p w:rsidR="001B24E7" w:rsidRPr="007B517D" w:rsidRDefault="001B24E7" w:rsidP="001B24E7">
      <w:pPr>
        <w:spacing w:after="0" w:line="360" w:lineRule="auto"/>
        <w:jc w:val="both"/>
        <w:rPr>
          <w:rFonts w:ascii="Arial" w:eastAsia="Times New Roman" w:hAnsi="Arial" w:cs="Arial"/>
          <w:sz w:val="24"/>
          <w:szCs w:val="24"/>
          <w:lang w:eastAsia="id-ID"/>
        </w:rPr>
      </w:pPr>
    </w:p>
    <w:p w:rsidR="007B517D" w:rsidRDefault="007B517D" w:rsidP="001B24E7">
      <w:pPr>
        <w:spacing w:after="0" w:line="360" w:lineRule="auto"/>
        <w:jc w:val="both"/>
        <w:rPr>
          <w:rFonts w:ascii="Arial" w:eastAsia="Times New Roman" w:hAnsi="Arial" w:cs="Arial"/>
          <w:sz w:val="24"/>
          <w:szCs w:val="24"/>
          <w:lang w:eastAsia="id-ID"/>
        </w:rPr>
      </w:pPr>
    </w:p>
    <w:p w:rsidR="007B517D" w:rsidRPr="007B517D" w:rsidRDefault="007B517D" w:rsidP="001B24E7">
      <w:pPr>
        <w:shd w:val="clear" w:color="auto" w:fill="FAFBFC"/>
        <w:spacing w:after="0" w:line="360" w:lineRule="auto"/>
        <w:jc w:val="both"/>
        <w:outlineLvl w:val="0"/>
        <w:rPr>
          <w:rFonts w:ascii="var(--theme-font-family)" w:eastAsia="Times New Roman" w:hAnsi="var(--theme-font-family)" w:cs="Segoe UI"/>
          <w:b/>
          <w:bCs/>
          <w:color w:val="3A4F66"/>
          <w:kern w:val="36"/>
          <w:sz w:val="48"/>
          <w:szCs w:val="48"/>
          <w:lang w:eastAsia="id-ID"/>
        </w:rPr>
      </w:pPr>
      <w:r w:rsidRPr="007B517D">
        <w:rPr>
          <w:rFonts w:ascii="var(--theme-font-family)" w:eastAsia="Times New Roman" w:hAnsi="var(--theme-font-family)" w:cs="Segoe UI"/>
          <w:b/>
          <w:bCs/>
          <w:color w:val="3A4F66"/>
          <w:kern w:val="36"/>
          <w:sz w:val="48"/>
          <w:szCs w:val="48"/>
          <w:lang w:eastAsia="id-ID"/>
        </w:rPr>
        <w:lastRenderedPageBreak/>
        <w:t>IFRS vs GAAP, Serupa Tapi Tak Sama</w:t>
      </w:r>
    </w:p>
    <w:p w:rsidR="007B517D" w:rsidRPr="007B517D" w:rsidRDefault="007B517D" w:rsidP="001B24E7">
      <w:pPr>
        <w:shd w:val="clear" w:color="auto" w:fill="FAFBFC"/>
        <w:spacing w:after="0" w:line="360" w:lineRule="auto"/>
        <w:jc w:val="both"/>
        <w:rPr>
          <w:rFonts w:ascii="var(--theme-font-family)" w:eastAsia="Times New Roman" w:hAnsi="var(--theme-font-family)" w:cs="Segoe UI"/>
          <w:color w:val="3A4F66"/>
          <w:sz w:val="24"/>
          <w:szCs w:val="24"/>
          <w:lang w:eastAsia="id-ID"/>
        </w:rPr>
      </w:pP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p>
    <w:p w:rsidR="007B517D" w:rsidRDefault="001B24E7" w:rsidP="001B24E7">
      <w:pPr>
        <w:shd w:val="clear" w:color="auto" w:fill="FAFBFC"/>
        <w:spacing w:after="0" w:line="360" w:lineRule="auto"/>
        <w:jc w:val="both"/>
        <w:rPr>
          <w:rFonts w:ascii="Segoe UI" w:eastAsia="Times New Roman" w:hAnsi="Segoe UI" w:cs="Segoe UI"/>
          <w:color w:val="3A4F66"/>
          <w:sz w:val="24"/>
          <w:szCs w:val="24"/>
          <w:lang w:eastAsia="id-ID"/>
        </w:rPr>
      </w:pPr>
      <w:r>
        <w:rPr>
          <w:rFonts w:ascii="Segoe UI" w:eastAsia="Times New Roman" w:hAnsi="Segoe UI" w:cs="Segoe UI"/>
          <w:color w:val="3A4F66"/>
          <w:sz w:val="24"/>
          <w:szCs w:val="24"/>
          <w:lang w:eastAsia="id-ID"/>
        </w:rPr>
        <w:t xml:space="preserve">Di </w:t>
      </w:r>
      <w:r w:rsidR="007B517D" w:rsidRPr="007B517D">
        <w:rPr>
          <w:rFonts w:ascii="Segoe UI" w:eastAsia="Times New Roman" w:hAnsi="Segoe UI" w:cs="Segoe UI"/>
          <w:color w:val="3A4F66"/>
          <w:sz w:val="24"/>
          <w:szCs w:val="24"/>
          <w:lang w:eastAsia="id-ID"/>
        </w:rPr>
        <w:t>dunia ini terdapat dua sta</w:t>
      </w:r>
      <w:r>
        <w:rPr>
          <w:rFonts w:ascii="Segoe UI" w:eastAsia="Times New Roman" w:hAnsi="Segoe UI" w:cs="Segoe UI"/>
          <w:color w:val="3A4F66"/>
          <w:sz w:val="24"/>
          <w:szCs w:val="24"/>
          <w:lang w:eastAsia="id-ID"/>
        </w:rPr>
        <w:t xml:space="preserve">ndar akuntansi yang diakui yaitu , </w:t>
      </w:r>
      <w:r w:rsidR="007B517D" w:rsidRPr="007B517D">
        <w:rPr>
          <w:rFonts w:ascii="Segoe UI" w:eastAsia="Times New Roman" w:hAnsi="Segoe UI" w:cs="Segoe UI"/>
          <w:color w:val="3A4F66"/>
          <w:sz w:val="24"/>
          <w:szCs w:val="24"/>
          <w:lang w:eastAsia="id-ID"/>
        </w:rPr>
        <w:t xml:space="preserve"> IFRS dan GAAP. Dua standar akuntansi ini mengatur tata cara menyusun informasi keuangan secara sistematis dan komprehensif, loh. Namun, terdapat perbedaan di antara kedua standar akuntansi tersebut dalam pelaksanaannya. Mau tahu apa saja perbedaannya? Yuk kita ulik bersama mengenai IFRS dan GAA</w:t>
      </w:r>
      <w:r>
        <w:rPr>
          <w:rFonts w:ascii="Segoe UI" w:eastAsia="Times New Roman" w:hAnsi="Segoe UI" w:cs="Segoe UI"/>
          <w:color w:val="3A4F66"/>
          <w:sz w:val="24"/>
          <w:szCs w:val="24"/>
          <w:lang w:eastAsia="id-ID"/>
        </w:rPr>
        <w:t>P dalam penjelasan di bawah ini</w:t>
      </w:r>
    </w:p>
    <w:p w:rsidR="001B24E7" w:rsidRPr="007B517D" w:rsidRDefault="001B24E7" w:rsidP="001B24E7">
      <w:pPr>
        <w:shd w:val="clear" w:color="auto" w:fill="FAFBFC"/>
        <w:spacing w:after="0" w:line="360" w:lineRule="auto"/>
        <w:jc w:val="both"/>
        <w:rPr>
          <w:rFonts w:ascii="Segoe UI" w:eastAsia="Times New Roman" w:hAnsi="Segoe UI" w:cs="Segoe UI"/>
          <w:color w:val="3A4F66"/>
          <w:sz w:val="24"/>
          <w:szCs w:val="24"/>
          <w:lang w:eastAsia="id-ID"/>
        </w:rPr>
      </w:pPr>
    </w:p>
    <w:p w:rsidR="007B517D" w:rsidRDefault="001B24E7" w:rsidP="001B24E7">
      <w:pPr>
        <w:shd w:val="clear" w:color="auto" w:fill="FAFBFC"/>
        <w:spacing w:after="0" w:line="360" w:lineRule="auto"/>
        <w:jc w:val="both"/>
        <w:outlineLvl w:val="2"/>
        <w:rPr>
          <w:rFonts w:ascii="var(--theme-font-family)" w:eastAsia="Times New Roman" w:hAnsi="var(--theme-font-family)" w:cs="Segoe UI"/>
          <w:b/>
          <w:bCs/>
          <w:i/>
          <w:iCs/>
          <w:color w:val="3A4F66"/>
          <w:sz w:val="27"/>
          <w:szCs w:val="27"/>
          <w:lang w:eastAsia="id-ID"/>
        </w:rPr>
      </w:pPr>
      <w:r>
        <w:rPr>
          <w:rFonts w:ascii="var(--theme-font-family)" w:eastAsia="Times New Roman" w:hAnsi="var(--theme-font-family)" w:cs="Segoe UI"/>
          <w:b/>
          <w:bCs/>
          <w:i/>
          <w:iCs/>
          <w:color w:val="3A4F66"/>
          <w:sz w:val="27"/>
          <w:szCs w:val="27"/>
          <w:lang w:eastAsia="id-ID"/>
        </w:rPr>
        <w:t>A.</w:t>
      </w:r>
      <w:r w:rsidRPr="001B24E7">
        <w:rPr>
          <w:rFonts w:ascii="var(--theme-font-family)" w:eastAsia="Times New Roman" w:hAnsi="var(--theme-font-family)" w:cs="Segoe UI"/>
          <w:b/>
          <w:bCs/>
          <w:i/>
          <w:iCs/>
          <w:color w:val="3A4F66"/>
          <w:sz w:val="27"/>
          <w:szCs w:val="27"/>
          <w:lang w:eastAsia="id-ID"/>
        </w:rPr>
        <w:t>Apa itu IFRS</w:t>
      </w:r>
    </w:p>
    <w:p w:rsidR="001B24E7" w:rsidRPr="007B517D" w:rsidRDefault="001B24E7" w:rsidP="001B24E7">
      <w:pPr>
        <w:shd w:val="clear" w:color="auto" w:fill="FAFBFC"/>
        <w:spacing w:after="0" w:line="360" w:lineRule="auto"/>
        <w:jc w:val="both"/>
        <w:outlineLvl w:val="2"/>
        <w:rPr>
          <w:rFonts w:ascii="var(--theme-font-family)" w:eastAsia="Times New Roman" w:hAnsi="var(--theme-font-family)" w:cs="Segoe UI"/>
          <w:b/>
          <w:bCs/>
          <w:color w:val="3A4F66"/>
          <w:sz w:val="27"/>
          <w:szCs w:val="27"/>
          <w:lang w:eastAsia="id-ID"/>
        </w:rPr>
      </w:pP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International Financial Reporting Standards yang biasa disingkat sebagai IFRS adalah seperangkat standar akuntansi internasional yang dikeluarkan oleh International Accounting Standards Board (IASB) dan IFRS Foundation. Standar ini dirancang guna menciptakan keseragaman dalam pelaporan keuangan lintas negara. IFRS mengedepankan prinsip-prinsip seperti:</w:t>
      </w:r>
    </w:p>
    <w:p w:rsidR="007B517D" w:rsidRPr="007B517D" w:rsidRDefault="007B517D" w:rsidP="001B24E7">
      <w:pPr>
        <w:numPr>
          <w:ilvl w:val="0"/>
          <w:numId w:val="6"/>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i/>
          <w:iCs/>
          <w:color w:val="3A4F66"/>
          <w:sz w:val="24"/>
          <w:szCs w:val="24"/>
          <w:lang w:eastAsia="id-ID"/>
        </w:rPr>
        <w:t>Substance Over Form</w:t>
      </w:r>
      <w:r w:rsidRPr="007B517D">
        <w:rPr>
          <w:rFonts w:ascii="inherit" w:eastAsia="Times New Roman" w:hAnsi="inherit" w:cs="Segoe UI"/>
          <w:color w:val="3A4F66"/>
          <w:sz w:val="24"/>
          <w:szCs w:val="24"/>
          <w:lang w:eastAsia="id-ID"/>
        </w:rPr>
        <w:t>, prinsip bahwa substansi ekonomi transaksi lebih penting daripada bentuk hukumnya.</w:t>
      </w:r>
    </w:p>
    <w:p w:rsidR="007B517D" w:rsidRPr="007B517D" w:rsidRDefault="007B517D" w:rsidP="001B24E7">
      <w:pPr>
        <w:numPr>
          <w:ilvl w:val="0"/>
          <w:numId w:val="6"/>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i/>
          <w:iCs/>
          <w:color w:val="3A4F66"/>
          <w:sz w:val="24"/>
          <w:szCs w:val="24"/>
          <w:lang w:eastAsia="id-ID"/>
        </w:rPr>
        <w:t>Fair Value</w:t>
      </w:r>
      <w:r w:rsidRPr="007B517D">
        <w:rPr>
          <w:rFonts w:ascii="inherit" w:eastAsia="Times New Roman" w:hAnsi="inherit" w:cs="Segoe UI"/>
          <w:color w:val="3A4F66"/>
          <w:sz w:val="24"/>
          <w:szCs w:val="24"/>
          <w:lang w:eastAsia="id-ID"/>
        </w:rPr>
        <w:t>, pengukuran aset/liabilitas berdasarkan nilai wajar (nilai pasar saat ini).</w:t>
      </w:r>
    </w:p>
    <w:p w:rsidR="007B517D" w:rsidRPr="007B517D" w:rsidRDefault="007B517D" w:rsidP="001B24E7">
      <w:pPr>
        <w:numPr>
          <w:ilvl w:val="0"/>
          <w:numId w:val="6"/>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i/>
          <w:iCs/>
          <w:color w:val="3A4F66"/>
          <w:sz w:val="24"/>
          <w:szCs w:val="24"/>
          <w:lang w:eastAsia="id-ID"/>
        </w:rPr>
        <w:t>Transparansi dan Komparabilitas</w:t>
      </w:r>
      <w:r w:rsidRPr="007B517D">
        <w:rPr>
          <w:rFonts w:ascii="inherit" w:eastAsia="Times New Roman" w:hAnsi="inherit" w:cs="Segoe UI"/>
          <w:color w:val="3A4F66"/>
          <w:sz w:val="24"/>
          <w:szCs w:val="24"/>
          <w:lang w:eastAsia="id-ID"/>
        </w:rPr>
        <w:t>, akuntan perlu memastikan laporan keuangan mudah dipahami dan dibandingkan secara global.</w:t>
      </w: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 xml:space="preserve">Saat ini, IFRS telah diadopsi di lebih dari 140 negara dan yurisdiksi. Hal ini membuat IFRS menjadi standar akuntansi yang lebih dominan di seluruh negara dan yurisdiksi selain Amerika Serikat yang menggunakan Generally Accepted Accounting Principles (GAAP). Di Indonesia, IFRS diadopsi dalam sebuah standar akuntansi nasional yang memiliki nama Standar Akuntansi Keuangan (SAK) yang diterbitkan oleh Dewan Standar Ikatan Akuntan Indonesia (DSAK IAI) dan Dewan Standar Syariah Ikatan Akuntansi Indonesia (DSAS IAI). Meskipun SAK belum sepenuhnya mengadopsi IFRS, proses konvergensi terus dilakukan untuk memperkecil kesenjangan antara SAK dan </w:t>
      </w:r>
      <w:r w:rsidRPr="007B517D">
        <w:rPr>
          <w:rFonts w:ascii="Segoe UI" w:eastAsia="Times New Roman" w:hAnsi="Segoe UI" w:cs="Segoe UI"/>
          <w:color w:val="3A4F66"/>
          <w:sz w:val="24"/>
          <w:szCs w:val="24"/>
          <w:lang w:eastAsia="id-ID"/>
        </w:rPr>
        <w:lastRenderedPageBreak/>
        <w:t>IFRS. Sejak 2016, OJK, IAI, dan IFRS Foundation memperkuat kerja sama untuk percepatan adopsi IFRS di Indonesia. Saat ini, SAK terbagi menjadi:</w:t>
      </w:r>
    </w:p>
    <w:p w:rsidR="007B517D" w:rsidRPr="007B517D" w:rsidRDefault="007B517D" w:rsidP="001B24E7">
      <w:pPr>
        <w:numPr>
          <w:ilvl w:val="0"/>
          <w:numId w:val="7"/>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color w:val="3A4F66"/>
          <w:sz w:val="24"/>
          <w:szCs w:val="24"/>
          <w:lang w:eastAsia="id-ID"/>
        </w:rPr>
        <w:t>Tier 1: SAK Umum, diterapkan oleh perusahaan terbuka dan entitas dengan akuntabilitas publik signifikan.</w:t>
      </w:r>
    </w:p>
    <w:p w:rsidR="007B517D" w:rsidRPr="007B517D" w:rsidRDefault="007B517D" w:rsidP="001B24E7">
      <w:pPr>
        <w:numPr>
          <w:ilvl w:val="0"/>
          <w:numId w:val="7"/>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color w:val="3A4F66"/>
          <w:sz w:val="24"/>
          <w:szCs w:val="24"/>
          <w:lang w:eastAsia="id-ID"/>
        </w:rPr>
        <w:t>Tier 2: SAK Entitas Tanpa Akuntabilitas Publik (SAK ETAP), digunakan oleh entitas yang tidak memiliki akuntabilitas publik signifikan.</w:t>
      </w: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Seiring dengan meningkatnya perhatian terhadap isu lingkungan, sosial, dan tata kelola (ESG), serta kebutuhan akan transparansi yang lebih besar dalam pelaporan keuangan, IASB terus memperbaharui standar untuk menanggapi isu terkini, seperti:</w:t>
      </w:r>
    </w:p>
    <w:p w:rsidR="007B517D" w:rsidRPr="007B517D" w:rsidRDefault="007B517D" w:rsidP="001B24E7">
      <w:pPr>
        <w:numPr>
          <w:ilvl w:val="0"/>
          <w:numId w:val="8"/>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i/>
          <w:iCs/>
          <w:color w:val="3A4F66"/>
          <w:sz w:val="24"/>
          <w:szCs w:val="24"/>
          <w:lang w:eastAsia="id-ID"/>
        </w:rPr>
        <w:t>Sustainability Reporting</w:t>
      </w:r>
      <w:r w:rsidRPr="007B517D">
        <w:rPr>
          <w:rFonts w:ascii="inherit" w:eastAsia="Times New Roman" w:hAnsi="inherit" w:cs="Segoe UI"/>
          <w:color w:val="3A4F66"/>
          <w:sz w:val="24"/>
          <w:szCs w:val="24"/>
          <w:lang w:eastAsia="id-ID"/>
        </w:rPr>
        <w:t>: Integrasi ESG (</w:t>
      </w:r>
      <w:r w:rsidRPr="007B517D">
        <w:rPr>
          <w:rFonts w:ascii="inherit" w:eastAsia="Times New Roman" w:hAnsi="inherit" w:cs="Segoe UI"/>
          <w:i/>
          <w:iCs/>
          <w:color w:val="3A4F66"/>
          <w:sz w:val="24"/>
          <w:szCs w:val="24"/>
          <w:lang w:eastAsia="id-ID"/>
        </w:rPr>
        <w:t>Environmental, Social, Governance</w:t>
      </w:r>
      <w:r w:rsidRPr="007B517D">
        <w:rPr>
          <w:rFonts w:ascii="inherit" w:eastAsia="Times New Roman" w:hAnsi="inherit" w:cs="Segoe UI"/>
          <w:color w:val="3A4F66"/>
          <w:sz w:val="24"/>
          <w:szCs w:val="24"/>
          <w:lang w:eastAsia="id-ID"/>
        </w:rPr>
        <w:t>) ke dalam IFRS.</w:t>
      </w:r>
    </w:p>
    <w:p w:rsidR="007B517D" w:rsidRPr="007B517D" w:rsidRDefault="007B517D" w:rsidP="001B24E7">
      <w:pPr>
        <w:numPr>
          <w:ilvl w:val="0"/>
          <w:numId w:val="8"/>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i/>
          <w:iCs/>
          <w:color w:val="3A4F66"/>
          <w:sz w:val="24"/>
          <w:szCs w:val="24"/>
          <w:lang w:eastAsia="id-ID"/>
        </w:rPr>
        <w:t>Digital Assets</w:t>
      </w:r>
      <w:r w:rsidRPr="007B517D">
        <w:rPr>
          <w:rFonts w:ascii="inherit" w:eastAsia="Times New Roman" w:hAnsi="inherit" w:cs="Segoe UI"/>
          <w:color w:val="3A4F66"/>
          <w:sz w:val="24"/>
          <w:szCs w:val="24"/>
          <w:lang w:eastAsia="id-ID"/>
        </w:rPr>
        <w:t>: Pengakuan dan pengukuran aset kripto.</w:t>
      </w:r>
    </w:p>
    <w:p w:rsid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Standar ini dirancang untuk memberikan kerangka kerja yang konsisten bagi perusahaan dalam melaporkan risiko dan peluang terkait keberlanjutan, termasuk emisi gas rumah kaca dan dampak perubahan iklim terhadap operasi bisnis. Beberapa yurisdiksi, seperti Australia dan Inggris, telah mengadopsi kerangka kerja IASB sebagai dasar untuk peraturan pelaporan keberlanjutan mereka. Selain itu, untuk mendukung digitalisasi pelaporan keuangan, IFRS Foundation telah merilis IFRS Accounting Taxonomy 2025. Taksonomi ini memungkinkan penyajian informasi keuangan secara digital, memudahkan investor dan pemangku kepentingan lainnya dalam mengakses dan menganalisis data keuangan. Pembaruan terbaru mencakup standar yang berlaku mulai 1 Januari 2025, termasuk IFRS 18 tentang Penyajian dan Pengungkapan dalam Laporan Keuangan.</w:t>
      </w:r>
    </w:p>
    <w:p w:rsidR="001B24E7" w:rsidRPr="007B517D" w:rsidRDefault="001B24E7" w:rsidP="001B24E7">
      <w:pPr>
        <w:shd w:val="clear" w:color="auto" w:fill="FAFBFC"/>
        <w:spacing w:after="0" w:line="360" w:lineRule="auto"/>
        <w:jc w:val="both"/>
        <w:rPr>
          <w:rFonts w:ascii="Segoe UI" w:eastAsia="Times New Roman" w:hAnsi="Segoe UI" w:cs="Segoe UI"/>
          <w:color w:val="3A4F66"/>
          <w:sz w:val="24"/>
          <w:szCs w:val="24"/>
          <w:lang w:eastAsia="id-ID"/>
        </w:rPr>
      </w:pPr>
    </w:p>
    <w:p w:rsidR="007B517D" w:rsidRPr="007B517D" w:rsidRDefault="001B24E7" w:rsidP="001B24E7">
      <w:pPr>
        <w:shd w:val="clear" w:color="auto" w:fill="FAFBFC"/>
        <w:spacing w:after="0" w:line="360" w:lineRule="auto"/>
        <w:jc w:val="both"/>
        <w:outlineLvl w:val="2"/>
        <w:rPr>
          <w:rFonts w:ascii="var(--theme-font-family)" w:eastAsia="Times New Roman" w:hAnsi="var(--theme-font-family)" w:cs="Segoe UI"/>
          <w:b/>
          <w:bCs/>
          <w:color w:val="3A4F66"/>
          <w:sz w:val="27"/>
          <w:szCs w:val="27"/>
          <w:lang w:eastAsia="id-ID"/>
        </w:rPr>
      </w:pPr>
      <w:r>
        <w:rPr>
          <w:rFonts w:ascii="var(--theme-font-family)" w:eastAsia="Times New Roman" w:hAnsi="var(--theme-font-family)" w:cs="Segoe UI"/>
          <w:b/>
          <w:bCs/>
          <w:i/>
          <w:iCs/>
          <w:color w:val="3A4F66"/>
          <w:sz w:val="27"/>
          <w:szCs w:val="27"/>
          <w:lang w:eastAsia="id-ID"/>
        </w:rPr>
        <w:t>B.Apa itu US GAAP</w:t>
      </w: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GAAP atau </w:t>
      </w:r>
      <w:r w:rsidRPr="007B517D">
        <w:rPr>
          <w:rFonts w:ascii="Segoe UI" w:eastAsia="Times New Roman" w:hAnsi="Segoe UI" w:cs="Segoe UI"/>
          <w:i/>
          <w:iCs/>
          <w:color w:val="3A4F66"/>
          <w:sz w:val="24"/>
          <w:szCs w:val="24"/>
          <w:lang w:eastAsia="id-ID"/>
        </w:rPr>
        <w:t>Generally Accepted Accounting Principles</w:t>
      </w:r>
      <w:r w:rsidRPr="007B517D">
        <w:rPr>
          <w:rFonts w:ascii="Segoe UI" w:eastAsia="Times New Roman" w:hAnsi="Segoe UI" w:cs="Segoe UI"/>
          <w:color w:val="3A4F66"/>
          <w:sz w:val="24"/>
          <w:szCs w:val="24"/>
          <w:lang w:eastAsia="id-ID"/>
        </w:rPr>
        <w:t xml:space="preserve"> adalah salah satu standar akuntansi yang memuat satu set aturan, persyaratan, dan praktik akuntansi umum yang bertujuan untuk memberikan standar dalam penyusunan klasifikasi, asumsi, dan prosedur akuntansi. Standar akuntansi ini dikeluarkan oleh dua organisasi akuntansi dunia, yaitu Financial Accounting Standards Board (FASB) dan Governmental </w:t>
      </w:r>
      <w:r w:rsidRPr="007B517D">
        <w:rPr>
          <w:rFonts w:ascii="Segoe UI" w:eastAsia="Times New Roman" w:hAnsi="Segoe UI" w:cs="Segoe UI"/>
          <w:color w:val="3A4F66"/>
          <w:sz w:val="24"/>
          <w:szCs w:val="24"/>
          <w:lang w:eastAsia="id-ID"/>
        </w:rPr>
        <w:lastRenderedPageBreak/>
        <w:t>Accounting Standards Board (GASB) (OJP TFSC, 2021). Saat ini, GAAP diterapkan secara umum oleh berbagai industri yang ada di Amerika Serikat, khususnya industri yang telah menjadi perusahaan publik. </w:t>
      </w: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Tentunya, GAAP memiliki prinsip yang menjadi landasan dalam pelaksanaan penerapan standarnya. Terdapat 10 prinsip yang membentuk kerangka dari GAAP, yaitu (Jain, 2024):</w:t>
      </w:r>
    </w:p>
    <w:p w:rsidR="007B517D" w:rsidRPr="007B517D" w:rsidRDefault="007B517D" w:rsidP="001B24E7">
      <w:pPr>
        <w:numPr>
          <w:ilvl w:val="0"/>
          <w:numId w:val="9"/>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i/>
          <w:iCs/>
          <w:color w:val="3A4F66"/>
          <w:sz w:val="24"/>
          <w:szCs w:val="24"/>
          <w:lang w:eastAsia="id-ID"/>
        </w:rPr>
        <w:t>Principle of Regularity</w:t>
      </w:r>
      <w:r w:rsidRPr="007B517D">
        <w:rPr>
          <w:rFonts w:ascii="inherit" w:eastAsia="Times New Roman" w:hAnsi="inherit" w:cs="Segoe UI"/>
          <w:color w:val="3A4F66"/>
          <w:sz w:val="24"/>
          <w:szCs w:val="24"/>
          <w:lang w:eastAsia="id-ID"/>
        </w:rPr>
        <w:t>, prinsip yang mengharuskan akuntan untuk mematuhi aturan yang terdapat dalam GAAP yang berarti akuntan tidak boleh memilih aturan GAAP mana yang diterapkan hanya karena kemudahannya .</w:t>
      </w:r>
    </w:p>
    <w:p w:rsidR="007B517D" w:rsidRPr="007B517D" w:rsidRDefault="007B517D" w:rsidP="001B24E7">
      <w:pPr>
        <w:numPr>
          <w:ilvl w:val="0"/>
          <w:numId w:val="9"/>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i/>
          <w:iCs/>
          <w:color w:val="3A4F66"/>
          <w:sz w:val="24"/>
          <w:szCs w:val="24"/>
          <w:lang w:eastAsia="id-ID"/>
        </w:rPr>
        <w:t>Principle of Consistency</w:t>
      </w:r>
      <w:r w:rsidRPr="007B517D">
        <w:rPr>
          <w:rFonts w:ascii="inherit" w:eastAsia="Times New Roman" w:hAnsi="inherit" w:cs="Segoe UI"/>
          <w:color w:val="3A4F66"/>
          <w:sz w:val="24"/>
          <w:szCs w:val="24"/>
          <w:lang w:eastAsia="id-ID"/>
        </w:rPr>
        <w:t>, berarti akuntan harus tetap konsisten menggunakan satu teknik akuntansi tertentu dalam menyajikan dan melaporkan informasi keuangan perusahaan agar informasi keuangannya dapat dibandingkan dari waktu ke waktu.</w:t>
      </w:r>
    </w:p>
    <w:p w:rsidR="007B517D" w:rsidRPr="007B517D" w:rsidRDefault="007B517D" w:rsidP="001B24E7">
      <w:pPr>
        <w:numPr>
          <w:ilvl w:val="0"/>
          <w:numId w:val="9"/>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i/>
          <w:iCs/>
          <w:color w:val="3A4F66"/>
          <w:sz w:val="24"/>
          <w:szCs w:val="24"/>
          <w:lang w:eastAsia="id-ID"/>
        </w:rPr>
        <w:t>Principle of Sincerity</w:t>
      </w:r>
      <w:r w:rsidRPr="007B517D">
        <w:rPr>
          <w:rFonts w:ascii="inherit" w:eastAsia="Times New Roman" w:hAnsi="inherit" w:cs="Segoe UI"/>
          <w:color w:val="3A4F66"/>
          <w:sz w:val="24"/>
          <w:szCs w:val="24"/>
          <w:lang w:eastAsia="id-ID"/>
        </w:rPr>
        <w:t>, akuntan harus menyajikan dan melaporkan informasi keuangan perusahaan sesuai dengan kondisi yang sebenarnya.</w:t>
      </w:r>
    </w:p>
    <w:p w:rsidR="007B517D" w:rsidRPr="007B517D" w:rsidRDefault="007B517D" w:rsidP="001B24E7">
      <w:pPr>
        <w:numPr>
          <w:ilvl w:val="0"/>
          <w:numId w:val="9"/>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i/>
          <w:iCs/>
          <w:color w:val="3A4F66"/>
          <w:sz w:val="24"/>
          <w:szCs w:val="24"/>
          <w:lang w:eastAsia="id-ID"/>
        </w:rPr>
        <w:t>Principle of Permanence of Method</w:t>
      </w:r>
      <w:r w:rsidRPr="007B517D">
        <w:rPr>
          <w:rFonts w:ascii="inherit" w:eastAsia="Times New Roman" w:hAnsi="inherit" w:cs="Segoe UI"/>
          <w:color w:val="3A4F66"/>
          <w:sz w:val="24"/>
          <w:szCs w:val="24"/>
          <w:lang w:eastAsia="id-ID"/>
        </w:rPr>
        <w:t>, menyatakan bahwa metode pelaporan keuangan yang digunakan harus selalu sama dalam jangka panjang sehingga dapat dengan mudah dibandingkan antarperusahaan. </w:t>
      </w:r>
    </w:p>
    <w:p w:rsidR="007B517D" w:rsidRPr="007B517D" w:rsidRDefault="007B517D" w:rsidP="001B24E7">
      <w:pPr>
        <w:numPr>
          <w:ilvl w:val="0"/>
          <w:numId w:val="9"/>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i/>
          <w:iCs/>
          <w:color w:val="3A4F66"/>
          <w:sz w:val="24"/>
          <w:szCs w:val="24"/>
          <w:lang w:eastAsia="id-ID"/>
        </w:rPr>
        <w:t>Principle of Non-Compensation</w:t>
      </w:r>
      <w:r w:rsidRPr="007B517D">
        <w:rPr>
          <w:rFonts w:ascii="inherit" w:eastAsia="Times New Roman" w:hAnsi="inherit" w:cs="Segoe UI"/>
          <w:color w:val="3A4F66"/>
          <w:sz w:val="24"/>
          <w:szCs w:val="24"/>
          <w:lang w:eastAsia="id-ID"/>
        </w:rPr>
        <w:t>, prinsip yang mengutamakan pengungkapan secara lengkap dengan kata lain perusahaan tidak boleh melakukan </w:t>
      </w:r>
      <w:r w:rsidRPr="007B517D">
        <w:rPr>
          <w:rFonts w:ascii="inherit" w:eastAsia="Times New Roman" w:hAnsi="inherit" w:cs="Segoe UI"/>
          <w:i/>
          <w:iCs/>
          <w:color w:val="3A4F66"/>
          <w:sz w:val="24"/>
          <w:szCs w:val="24"/>
          <w:lang w:eastAsia="id-ID"/>
        </w:rPr>
        <w:t>netting </w:t>
      </w:r>
      <w:r w:rsidRPr="007B517D">
        <w:rPr>
          <w:rFonts w:ascii="inherit" w:eastAsia="Times New Roman" w:hAnsi="inherit" w:cs="Segoe UI"/>
          <w:color w:val="3A4F66"/>
          <w:sz w:val="24"/>
          <w:szCs w:val="24"/>
          <w:lang w:eastAsia="id-ID"/>
        </w:rPr>
        <w:t>antara akun aset dan kewajiban menjadi aset bersih atau antara akun pendapatan dan beban menjadi pendapatan bersih. </w:t>
      </w:r>
    </w:p>
    <w:p w:rsidR="007B517D" w:rsidRPr="007B517D" w:rsidRDefault="007B517D" w:rsidP="001B24E7">
      <w:pPr>
        <w:numPr>
          <w:ilvl w:val="0"/>
          <w:numId w:val="9"/>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i/>
          <w:iCs/>
          <w:color w:val="3A4F66"/>
          <w:sz w:val="24"/>
          <w:szCs w:val="24"/>
          <w:lang w:eastAsia="id-ID"/>
        </w:rPr>
        <w:t>Principle of Prudence</w:t>
      </w:r>
      <w:r w:rsidRPr="007B517D">
        <w:rPr>
          <w:rFonts w:ascii="inherit" w:eastAsia="Times New Roman" w:hAnsi="inherit" w:cs="Segoe UI"/>
          <w:color w:val="3A4F66"/>
          <w:sz w:val="24"/>
          <w:szCs w:val="24"/>
          <w:lang w:eastAsia="id-ID"/>
        </w:rPr>
        <w:t>, informasi keuangan yang disajikan harus terhindar dari adanya spekulasi, terutama yang terkait dengan ekspektasi masa depan suatu perusahaan.</w:t>
      </w:r>
    </w:p>
    <w:p w:rsidR="007B517D" w:rsidRPr="007B517D" w:rsidRDefault="007B517D" w:rsidP="001B24E7">
      <w:pPr>
        <w:numPr>
          <w:ilvl w:val="0"/>
          <w:numId w:val="9"/>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i/>
          <w:iCs/>
          <w:color w:val="3A4F66"/>
          <w:sz w:val="24"/>
          <w:szCs w:val="24"/>
          <w:lang w:eastAsia="id-ID"/>
        </w:rPr>
        <w:t>Principle of Continuity</w:t>
      </w:r>
      <w:r w:rsidRPr="007B517D">
        <w:rPr>
          <w:rFonts w:ascii="inherit" w:eastAsia="Times New Roman" w:hAnsi="inherit" w:cs="Segoe UI"/>
          <w:color w:val="3A4F66"/>
          <w:sz w:val="24"/>
          <w:szCs w:val="24"/>
          <w:lang w:eastAsia="id-ID"/>
        </w:rPr>
        <w:t>, prinsip yang menekankan bahwa perusahaan akan tetap beroperasi dalam jangka panjang.</w:t>
      </w:r>
    </w:p>
    <w:p w:rsidR="007B517D" w:rsidRPr="007B517D" w:rsidRDefault="007B517D" w:rsidP="001B24E7">
      <w:pPr>
        <w:numPr>
          <w:ilvl w:val="0"/>
          <w:numId w:val="9"/>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i/>
          <w:iCs/>
          <w:color w:val="3A4F66"/>
          <w:sz w:val="24"/>
          <w:szCs w:val="24"/>
          <w:lang w:eastAsia="id-ID"/>
        </w:rPr>
        <w:t>Principle of Periodicity</w:t>
      </w:r>
      <w:r w:rsidRPr="007B517D">
        <w:rPr>
          <w:rFonts w:ascii="inherit" w:eastAsia="Times New Roman" w:hAnsi="inherit" w:cs="Segoe UI"/>
          <w:color w:val="3A4F66"/>
          <w:sz w:val="24"/>
          <w:szCs w:val="24"/>
          <w:lang w:eastAsia="id-ID"/>
        </w:rPr>
        <w:t>, menyatakan bahwa informasi keuangan harus disajikan dengan cara membaginya ke dalam beberapa periode, seperti bulanan, triwulan, atau tahunan.</w:t>
      </w:r>
    </w:p>
    <w:p w:rsidR="007B517D" w:rsidRPr="007B517D" w:rsidRDefault="007B517D" w:rsidP="001B24E7">
      <w:pPr>
        <w:numPr>
          <w:ilvl w:val="0"/>
          <w:numId w:val="9"/>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i/>
          <w:iCs/>
          <w:color w:val="3A4F66"/>
          <w:sz w:val="24"/>
          <w:szCs w:val="24"/>
          <w:lang w:eastAsia="id-ID"/>
        </w:rPr>
        <w:t>Principle of Full Disclosure</w:t>
      </w:r>
      <w:r w:rsidRPr="007B517D">
        <w:rPr>
          <w:rFonts w:ascii="inherit" w:eastAsia="Times New Roman" w:hAnsi="inherit" w:cs="Segoe UI"/>
          <w:color w:val="3A4F66"/>
          <w:sz w:val="24"/>
          <w:szCs w:val="24"/>
          <w:lang w:eastAsia="id-ID"/>
        </w:rPr>
        <w:t>, prinsip yang menekankan pengungkapan penuh atas semua informasi dalam laporan keuangan sehingga dapat dengan mudah dipahami oleh pembaca.</w:t>
      </w:r>
    </w:p>
    <w:p w:rsidR="007B517D" w:rsidRDefault="007B517D" w:rsidP="001B24E7">
      <w:pPr>
        <w:numPr>
          <w:ilvl w:val="0"/>
          <w:numId w:val="9"/>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i/>
          <w:iCs/>
          <w:color w:val="3A4F66"/>
          <w:sz w:val="24"/>
          <w:szCs w:val="24"/>
          <w:lang w:eastAsia="id-ID"/>
        </w:rPr>
        <w:lastRenderedPageBreak/>
        <w:t>Principle of Utmost Good Faith</w:t>
      </w:r>
      <w:r w:rsidRPr="007B517D">
        <w:rPr>
          <w:rFonts w:ascii="inherit" w:eastAsia="Times New Roman" w:hAnsi="inherit" w:cs="Segoe UI"/>
          <w:color w:val="3A4F66"/>
          <w:sz w:val="24"/>
          <w:szCs w:val="24"/>
          <w:lang w:eastAsia="id-ID"/>
        </w:rPr>
        <w:t>, menyatakan bahwa tindakan akuntan dalam menyajikan dan melaporkan informasi keuangan harus mencerminkan prinsip integritas sebagai perwujudan dari perilaku etis.</w:t>
      </w:r>
    </w:p>
    <w:p w:rsidR="001B24E7" w:rsidRPr="007B517D" w:rsidRDefault="001B24E7" w:rsidP="001B24E7">
      <w:pPr>
        <w:shd w:val="clear" w:color="auto" w:fill="FAFBFC"/>
        <w:spacing w:after="0" w:line="360" w:lineRule="auto"/>
        <w:ind w:left="720"/>
        <w:jc w:val="both"/>
        <w:rPr>
          <w:rFonts w:ascii="inherit" w:eastAsia="Times New Roman" w:hAnsi="inherit" w:cs="Segoe UI"/>
          <w:color w:val="3A4F66"/>
          <w:sz w:val="24"/>
          <w:szCs w:val="24"/>
          <w:lang w:eastAsia="id-ID"/>
        </w:rPr>
      </w:pPr>
    </w:p>
    <w:p w:rsidR="007B517D" w:rsidRPr="007B517D" w:rsidRDefault="001B24E7" w:rsidP="001B24E7">
      <w:pPr>
        <w:shd w:val="clear" w:color="auto" w:fill="FAFBFC"/>
        <w:spacing w:after="0" w:line="360" w:lineRule="auto"/>
        <w:jc w:val="both"/>
        <w:outlineLvl w:val="2"/>
        <w:rPr>
          <w:rFonts w:ascii="var(--theme-font-family)" w:eastAsia="Times New Roman" w:hAnsi="var(--theme-font-family)" w:cs="Segoe UI"/>
          <w:b/>
          <w:bCs/>
          <w:color w:val="3A4F66"/>
          <w:sz w:val="27"/>
          <w:szCs w:val="27"/>
          <w:lang w:eastAsia="id-ID"/>
        </w:rPr>
      </w:pPr>
      <w:r>
        <w:rPr>
          <w:rFonts w:ascii="var(--theme-font-family)" w:eastAsia="Times New Roman" w:hAnsi="var(--theme-font-family)" w:cs="Segoe UI"/>
          <w:b/>
          <w:bCs/>
          <w:i/>
          <w:iCs/>
          <w:color w:val="3A4F66"/>
          <w:sz w:val="27"/>
          <w:szCs w:val="27"/>
          <w:lang w:eastAsia="id-ID"/>
        </w:rPr>
        <w:t>C.Apa Perbedaan nya</w:t>
      </w: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IFRS dan GAAP merupakan dua standar akuntansi dominan yang digunakan secara global dalam mengatur pelaporan keuangan. Keduanya memiliki karakteristik, pendekatan, dan penerapan yang berbeda. IFRS lebih fleksibel dan berfokus pada substansi ekonomi daripada bentuk transaksi tertentu. Sebaliknya, GAAP bersifat </w:t>
      </w:r>
      <w:r w:rsidRPr="007B517D">
        <w:rPr>
          <w:rFonts w:ascii="Segoe UI" w:eastAsia="Times New Roman" w:hAnsi="Segoe UI" w:cs="Segoe UI"/>
          <w:i/>
          <w:iCs/>
          <w:color w:val="3A4F66"/>
          <w:sz w:val="24"/>
          <w:szCs w:val="24"/>
          <w:lang w:eastAsia="id-ID"/>
        </w:rPr>
        <w:t>rule-based</w:t>
      </w:r>
      <w:r w:rsidRPr="007B517D">
        <w:rPr>
          <w:rFonts w:ascii="Segoe UI" w:eastAsia="Times New Roman" w:hAnsi="Segoe UI" w:cs="Segoe UI"/>
          <w:color w:val="3A4F66"/>
          <w:sz w:val="24"/>
          <w:szCs w:val="24"/>
          <w:lang w:eastAsia="id-ID"/>
        </w:rPr>
        <w:t>, dengan aturan yang lebih rinci, spesifik, dan sering kali disesuaikan dengan kebutuhan industri tertentu. Perbedaan mendasar ini memengaruhi berbagai aspek pelaporan keuangan, mulai dari pengakuan pendapatan hingga penyajian laporan keuangan, yang dapat berdampak signifikan pada perusahaan, terutama yang beroperasi secara internasional. Selain perbedaan dasar dari keduanya, berikut adalah perbedaan-perbedaan lain antara IFRS dan GAAP:</w:t>
      </w:r>
    </w:p>
    <w:p w:rsidR="007B517D" w:rsidRPr="007B517D" w:rsidRDefault="007B517D" w:rsidP="001B24E7">
      <w:pPr>
        <w:numPr>
          <w:ilvl w:val="0"/>
          <w:numId w:val="10"/>
        </w:num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b/>
          <w:bCs/>
          <w:color w:val="3A4F66"/>
          <w:sz w:val="24"/>
          <w:szCs w:val="24"/>
          <w:lang w:eastAsia="id-ID"/>
        </w:rPr>
        <w:t>Pengakuan Pendapatan</w:t>
      </w: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IFRS menggunakan pendekatan </w:t>
      </w:r>
      <w:r w:rsidRPr="007B517D">
        <w:rPr>
          <w:rFonts w:ascii="Segoe UI" w:eastAsia="Times New Roman" w:hAnsi="Segoe UI" w:cs="Segoe UI"/>
          <w:i/>
          <w:iCs/>
          <w:color w:val="3A4F66"/>
          <w:sz w:val="24"/>
          <w:szCs w:val="24"/>
          <w:lang w:eastAsia="id-ID"/>
        </w:rPr>
        <w:t>principal-based</w:t>
      </w:r>
      <w:r w:rsidRPr="007B517D">
        <w:rPr>
          <w:rFonts w:ascii="Segoe UI" w:eastAsia="Times New Roman" w:hAnsi="Segoe UI" w:cs="Segoe UI"/>
          <w:color w:val="3A4F66"/>
          <w:sz w:val="24"/>
          <w:szCs w:val="24"/>
          <w:lang w:eastAsia="id-ID"/>
        </w:rPr>
        <w:t>, artinya pendapatan diakui ketika manfaat ekonomi mengalir ke entitas dan dapat diukur secara andal (IAS 18). Fleksibilitas ini memungkinkan interpretasi yang luas, misalnya dalam kontrak jangka panjang seperti proyek konstruksi yang mengakui pendapatan secara bertahap. Sebaliknya, GAAP (ASC 606) menerapkan aturan lebih rigid dengan panduan spesifik per industri. Misalnya, perusahaan software di AS harus mengikuti kriteria seperti “</w:t>
      </w:r>
      <w:r w:rsidRPr="007B517D">
        <w:rPr>
          <w:rFonts w:ascii="Segoe UI" w:eastAsia="Times New Roman" w:hAnsi="Segoe UI" w:cs="Segoe UI"/>
          <w:i/>
          <w:iCs/>
          <w:color w:val="3A4F66"/>
          <w:sz w:val="24"/>
          <w:szCs w:val="24"/>
          <w:lang w:eastAsia="id-ID"/>
        </w:rPr>
        <w:t>vendor-specific objective evidence</w:t>
      </w:r>
      <w:r w:rsidRPr="007B517D">
        <w:rPr>
          <w:rFonts w:ascii="Segoe UI" w:eastAsia="Times New Roman" w:hAnsi="Segoe UI" w:cs="Segoe UI"/>
          <w:color w:val="3A4F66"/>
          <w:sz w:val="24"/>
          <w:szCs w:val="24"/>
          <w:lang w:eastAsia="id-ID"/>
        </w:rPr>
        <w:t>” untuk mengalokasikan pendapatan lisensi, sedangkan ritel memiliki aturan berbeda untuk penjualan konsinyasi. Perbedaan ini dapat menyebabkan variasi signifikan dalam laba bersih yang dilaporkan.</w:t>
      </w:r>
    </w:p>
    <w:p w:rsidR="007B517D" w:rsidRPr="007B517D" w:rsidRDefault="007B517D" w:rsidP="001B24E7">
      <w:pPr>
        <w:numPr>
          <w:ilvl w:val="0"/>
          <w:numId w:val="11"/>
        </w:num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b/>
          <w:bCs/>
          <w:color w:val="3A4F66"/>
          <w:sz w:val="24"/>
          <w:szCs w:val="24"/>
          <w:lang w:eastAsia="id-ID"/>
        </w:rPr>
        <w:t>Penilaian Inventaris</w:t>
      </w: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Metode LIFO (</w:t>
      </w:r>
      <w:r w:rsidRPr="007B517D">
        <w:rPr>
          <w:rFonts w:ascii="Segoe UI" w:eastAsia="Times New Roman" w:hAnsi="Segoe UI" w:cs="Segoe UI"/>
          <w:i/>
          <w:iCs/>
          <w:color w:val="3A4F66"/>
          <w:sz w:val="24"/>
          <w:szCs w:val="24"/>
          <w:lang w:eastAsia="id-ID"/>
        </w:rPr>
        <w:t>Last In, First Out</w:t>
      </w:r>
      <w:r w:rsidRPr="007B517D">
        <w:rPr>
          <w:rFonts w:ascii="Segoe UI" w:eastAsia="Times New Roman" w:hAnsi="Segoe UI" w:cs="Segoe UI"/>
          <w:color w:val="3A4F66"/>
          <w:sz w:val="24"/>
          <w:szCs w:val="24"/>
          <w:lang w:eastAsia="id-ID"/>
        </w:rPr>
        <w:t xml:space="preserve">) menjadi pembeda utama. IFRS melarang LIFO karena dianggap tidak merepresentasikan arus fisik inventaris secara akurat (IAS 2), sementara GAAP memperbolehkannya (ASC 330). Di AS, perusahaan seperti ExxonMobil memanfaatkan LIFO untuk mengurangi pajak di masa inflasi, karena biaya inventaris </w:t>
      </w:r>
      <w:r w:rsidRPr="007B517D">
        <w:rPr>
          <w:rFonts w:ascii="Segoe UI" w:eastAsia="Times New Roman" w:hAnsi="Segoe UI" w:cs="Segoe UI"/>
          <w:color w:val="3A4F66"/>
          <w:sz w:val="24"/>
          <w:szCs w:val="24"/>
          <w:lang w:eastAsia="id-ID"/>
        </w:rPr>
        <w:lastRenderedPageBreak/>
        <w:t>terbaru (yang lebih tinggi) dicocokkan dengan pendapatan saat ini. Namun, larangan LIFO di IFRS menyebabkan perusahaan multinasional seperti Coca-Cola harus menggunakan metode FIFO atau </w:t>
      </w:r>
      <w:r w:rsidRPr="007B517D">
        <w:rPr>
          <w:rFonts w:ascii="Segoe UI" w:eastAsia="Times New Roman" w:hAnsi="Segoe UI" w:cs="Segoe UI"/>
          <w:i/>
          <w:iCs/>
          <w:color w:val="3A4F66"/>
          <w:sz w:val="24"/>
          <w:szCs w:val="24"/>
          <w:lang w:eastAsia="id-ID"/>
        </w:rPr>
        <w:t>weighted average</w:t>
      </w:r>
      <w:r w:rsidRPr="007B517D">
        <w:rPr>
          <w:rFonts w:ascii="Segoe UI" w:eastAsia="Times New Roman" w:hAnsi="Segoe UI" w:cs="Segoe UI"/>
          <w:color w:val="3A4F66"/>
          <w:sz w:val="24"/>
          <w:szCs w:val="24"/>
          <w:lang w:eastAsia="id-ID"/>
        </w:rPr>
        <w:t> di laporan internasional mereka, sehingga nilai inventaris dan laba kotor bisa 10-15% lebih tinggi dibandingkan laporan GAAP.</w:t>
      </w:r>
    </w:p>
    <w:p w:rsidR="007B517D" w:rsidRPr="007B517D" w:rsidRDefault="007B517D" w:rsidP="001B24E7">
      <w:pPr>
        <w:numPr>
          <w:ilvl w:val="0"/>
          <w:numId w:val="12"/>
        </w:num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b/>
          <w:bCs/>
          <w:color w:val="3A4F66"/>
          <w:sz w:val="24"/>
          <w:szCs w:val="24"/>
          <w:lang w:eastAsia="id-ID"/>
        </w:rPr>
        <w:t>Fleksibilitas Penyajian Laporan Keuangan</w:t>
      </w: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IFRS memberikan kebebasan dalam struktur laporan keuangan, asalkan mencakup neraca, laporan laba rugi, dan arus kas (IAS 1). Perusahaan bisa mengelompokkan “biaya pemasaran” dan “biaya administrasi” dalam satu kategori, atau menyajikan aset lancar di bagian atas neraca. Sebaliknya, GAAP (ASC 205) menetapkan format baku. Contohnya, </w:t>
      </w:r>
      <w:r w:rsidRPr="007B517D">
        <w:rPr>
          <w:rFonts w:ascii="Segoe UI" w:eastAsia="Times New Roman" w:hAnsi="Segoe UI" w:cs="Segoe UI"/>
          <w:i/>
          <w:iCs/>
          <w:color w:val="3A4F66"/>
          <w:sz w:val="24"/>
          <w:szCs w:val="24"/>
          <w:lang w:eastAsia="id-ID"/>
        </w:rPr>
        <w:t>extraordinary items</w:t>
      </w:r>
      <w:r w:rsidRPr="007B517D">
        <w:rPr>
          <w:rFonts w:ascii="Segoe UI" w:eastAsia="Times New Roman" w:hAnsi="Segoe UI" w:cs="Segoe UI"/>
          <w:color w:val="3A4F66"/>
          <w:sz w:val="24"/>
          <w:szCs w:val="24"/>
          <w:lang w:eastAsia="id-ID"/>
        </w:rPr>
        <w:t> (seperti kerugian bencana alam) yang dulu harus dipisahkan dalam laporan laba rugi GAAP, meskipun aturan ini dihapus pada 2015. Perbedaan struktur ini memengaruhi analisis rasio keuangan seperti likuiditas dan solvabilitas.</w:t>
      </w:r>
    </w:p>
    <w:p w:rsidR="007B517D" w:rsidRPr="007B517D" w:rsidRDefault="007B517D" w:rsidP="001B24E7">
      <w:pPr>
        <w:numPr>
          <w:ilvl w:val="0"/>
          <w:numId w:val="13"/>
        </w:num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b/>
          <w:bCs/>
          <w:color w:val="3A4F66"/>
          <w:sz w:val="24"/>
          <w:szCs w:val="24"/>
          <w:lang w:eastAsia="id-ID"/>
        </w:rPr>
        <w:t>Aset Tidak Berwujud dan Biaya R&amp;D (</w:t>
      </w:r>
      <w:r w:rsidRPr="007B517D">
        <w:rPr>
          <w:rFonts w:ascii="Segoe UI" w:eastAsia="Times New Roman" w:hAnsi="Segoe UI" w:cs="Segoe UI"/>
          <w:b/>
          <w:bCs/>
          <w:i/>
          <w:iCs/>
          <w:color w:val="3A4F66"/>
          <w:sz w:val="24"/>
          <w:szCs w:val="24"/>
          <w:lang w:eastAsia="id-ID"/>
        </w:rPr>
        <w:t>Research &amp; Development</w:t>
      </w:r>
      <w:r w:rsidRPr="007B517D">
        <w:rPr>
          <w:rFonts w:ascii="Segoe UI" w:eastAsia="Times New Roman" w:hAnsi="Segoe UI" w:cs="Segoe UI"/>
          <w:b/>
          <w:bCs/>
          <w:color w:val="3A4F66"/>
          <w:sz w:val="24"/>
          <w:szCs w:val="24"/>
          <w:lang w:eastAsia="id-ID"/>
        </w:rPr>
        <w:t>)</w:t>
      </w: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IFRS memperbolehkan kapitalisasi biaya R&amp;D (misalnya, R&amp;D farmasi) jika memenuhi kriteria teknis dan komersial (IAS 38). Perusahaan seperti Novartis bisa saja mengkapitalisasi biaya uji klinis Fase III sehingga meningkatkan nilai aset dan laba. Di GAAP (ASC 730), hampir semua biaya R&amp;D harus dibebankan langsung, kecuali R&amp;D perangkat lunak untuk dijual. Akibatnya, perusahaan teknologi AS seperti Tesla melaporkan laba lebih rendah dibandingkan perusahaan Eropa yang menggunakan IFRS, meski memiliki aktivitas R&amp;D serupa.</w:t>
      </w:r>
    </w:p>
    <w:p w:rsidR="007B517D" w:rsidRPr="007B517D" w:rsidRDefault="007B517D" w:rsidP="001B24E7">
      <w:pPr>
        <w:numPr>
          <w:ilvl w:val="0"/>
          <w:numId w:val="14"/>
        </w:num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b/>
          <w:bCs/>
          <w:color w:val="3A4F66"/>
          <w:sz w:val="24"/>
          <w:szCs w:val="24"/>
          <w:lang w:eastAsia="id-ID"/>
        </w:rPr>
        <w:t>Akuntansi Sewa (</w:t>
      </w:r>
      <w:r w:rsidRPr="007B517D">
        <w:rPr>
          <w:rFonts w:ascii="Segoe UI" w:eastAsia="Times New Roman" w:hAnsi="Segoe UI" w:cs="Segoe UI"/>
          <w:b/>
          <w:bCs/>
          <w:i/>
          <w:iCs/>
          <w:color w:val="3A4F66"/>
          <w:sz w:val="24"/>
          <w:szCs w:val="24"/>
          <w:lang w:eastAsia="id-ID"/>
        </w:rPr>
        <w:t>Lease</w:t>
      </w:r>
      <w:r w:rsidRPr="007B517D">
        <w:rPr>
          <w:rFonts w:ascii="Segoe UI" w:eastAsia="Times New Roman" w:hAnsi="Segoe UI" w:cs="Segoe UI"/>
          <w:b/>
          <w:bCs/>
          <w:color w:val="3A4F66"/>
          <w:sz w:val="24"/>
          <w:szCs w:val="24"/>
          <w:lang w:eastAsia="id-ID"/>
        </w:rPr>
        <w:t>)</w:t>
      </w: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 xml:space="preserve">Perbedaan mencolok terlihat dalam perlakuan sewa. IFRS 16 mengharuskan semua sewa jangka panjang (kecuali sewa &lt;12 bulan) diakui sebagai aset dan liabilitas. Misalnya, perusahaan penerbangan seperti Airbus harus mencatat pesawat sewa sebagai aset, meningkatkan rasio utang-ekuitas. GAAP (ASC 842) membedakan operating lease (hanya biaya sewa dicatat di laba rugi) dan finance lease (diakui di </w:t>
      </w:r>
      <w:r w:rsidRPr="007B517D">
        <w:rPr>
          <w:rFonts w:ascii="Segoe UI" w:eastAsia="Times New Roman" w:hAnsi="Segoe UI" w:cs="Segoe UI"/>
          <w:color w:val="3A4F66"/>
          <w:sz w:val="24"/>
          <w:szCs w:val="24"/>
          <w:lang w:eastAsia="id-ID"/>
        </w:rPr>
        <w:lastRenderedPageBreak/>
        <w:t>neraca). Perbedaan ini menyebabkan perusahaan AS seperti Walmart memiliki leverage yang tampak lebih rendah dibandingkan kompetitor Eropa.</w:t>
      </w:r>
    </w:p>
    <w:p w:rsidR="007B517D" w:rsidRPr="007B517D" w:rsidRDefault="007B517D" w:rsidP="001B24E7">
      <w:pPr>
        <w:numPr>
          <w:ilvl w:val="0"/>
          <w:numId w:val="15"/>
        </w:num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b/>
          <w:bCs/>
          <w:color w:val="3A4F66"/>
          <w:sz w:val="24"/>
          <w:szCs w:val="24"/>
          <w:lang w:eastAsia="id-ID"/>
        </w:rPr>
        <w:t>Instrumen Keuangan dan Penurunan Nilai (</w:t>
      </w:r>
      <w:r w:rsidRPr="007B517D">
        <w:rPr>
          <w:rFonts w:ascii="Segoe UI" w:eastAsia="Times New Roman" w:hAnsi="Segoe UI" w:cs="Segoe UI"/>
          <w:b/>
          <w:bCs/>
          <w:i/>
          <w:iCs/>
          <w:color w:val="3A4F66"/>
          <w:sz w:val="24"/>
          <w:szCs w:val="24"/>
          <w:lang w:eastAsia="id-ID"/>
        </w:rPr>
        <w:t>Impairment</w:t>
      </w:r>
      <w:r w:rsidRPr="007B517D">
        <w:rPr>
          <w:rFonts w:ascii="Segoe UI" w:eastAsia="Times New Roman" w:hAnsi="Segoe UI" w:cs="Segoe UI"/>
          <w:b/>
          <w:bCs/>
          <w:color w:val="3A4F66"/>
          <w:sz w:val="24"/>
          <w:szCs w:val="24"/>
          <w:lang w:eastAsia="id-ID"/>
        </w:rPr>
        <w:t>)</w:t>
      </w: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IFRS lebih mengutamakan nilai wajar (</w:t>
      </w:r>
      <w:r w:rsidRPr="007B517D">
        <w:rPr>
          <w:rFonts w:ascii="Segoe UI" w:eastAsia="Times New Roman" w:hAnsi="Segoe UI" w:cs="Segoe UI"/>
          <w:i/>
          <w:iCs/>
          <w:color w:val="3A4F66"/>
          <w:sz w:val="24"/>
          <w:szCs w:val="24"/>
          <w:lang w:eastAsia="id-ID"/>
        </w:rPr>
        <w:t>fair value</w:t>
      </w:r>
      <w:r w:rsidRPr="007B517D">
        <w:rPr>
          <w:rFonts w:ascii="Segoe UI" w:eastAsia="Times New Roman" w:hAnsi="Segoe UI" w:cs="Segoe UI"/>
          <w:color w:val="3A4F66"/>
          <w:sz w:val="24"/>
          <w:szCs w:val="24"/>
          <w:lang w:eastAsia="id-ID"/>
        </w:rPr>
        <w:t>) untuk instrumen keuangan (IFRS 9), sementara GAAP (ASC 326) menggunakan biaya diamortisasi (</w:t>
      </w:r>
      <w:r w:rsidRPr="007B517D">
        <w:rPr>
          <w:rFonts w:ascii="Segoe UI" w:eastAsia="Times New Roman" w:hAnsi="Segoe UI" w:cs="Segoe UI"/>
          <w:i/>
          <w:iCs/>
          <w:color w:val="3A4F66"/>
          <w:sz w:val="24"/>
          <w:szCs w:val="24"/>
          <w:lang w:eastAsia="id-ID"/>
        </w:rPr>
        <w:t>amortized cost</w:t>
      </w:r>
      <w:r w:rsidRPr="007B517D">
        <w:rPr>
          <w:rFonts w:ascii="Segoe UI" w:eastAsia="Times New Roman" w:hAnsi="Segoe UI" w:cs="Segoe UI"/>
          <w:color w:val="3A4F66"/>
          <w:sz w:val="24"/>
          <w:szCs w:val="24"/>
          <w:lang w:eastAsia="id-ID"/>
        </w:rPr>
        <w:t>) untuk instrumen tertentu seperti pinjaman. Selain itu, penurunan nilai aset di IFRS menggunakan model </w:t>
      </w:r>
      <w:r w:rsidRPr="007B517D">
        <w:rPr>
          <w:rFonts w:ascii="Segoe UI" w:eastAsia="Times New Roman" w:hAnsi="Segoe UI" w:cs="Segoe UI"/>
          <w:i/>
          <w:iCs/>
          <w:color w:val="3A4F66"/>
          <w:sz w:val="24"/>
          <w:szCs w:val="24"/>
          <w:lang w:eastAsia="id-ID"/>
        </w:rPr>
        <w:t>expected loss</w:t>
      </w:r>
      <w:r w:rsidRPr="007B517D">
        <w:rPr>
          <w:rFonts w:ascii="Segoe UI" w:eastAsia="Times New Roman" w:hAnsi="Segoe UI" w:cs="Segoe UI"/>
          <w:color w:val="3A4F66"/>
          <w:sz w:val="24"/>
          <w:szCs w:val="24"/>
          <w:lang w:eastAsia="id-ID"/>
        </w:rPr>
        <w:t> (kerugian diprediksi sejak awal), sedangkan GAAP menggunakan </w:t>
      </w:r>
      <w:r w:rsidRPr="007B517D">
        <w:rPr>
          <w:rFonts w:ascii="Segoe UI" w:eastAsia="Times New Roman" w:hAnsi="Segoe UI" w:cs="Segoe UI"/>
          <w:i/>
          <w:iCs/>
          <w:color w:val="3A4F66"/>
          <w:sz w:val="24"/>
          <w:szCs w:val="24"/>
          <w:lang w:eastAsia="id-ID"/>
        </w:rPr>
        <w:t>incurred loss</w:t>
      </w:r>
      <w:r w:rsidRPr="007B517D">
        <w:rPr>
          <w:rFonts w:ascii="Segoe UI" w:eastAsia="Times New Roman" w:hAnsi="Segoe UI" w:cs="Segoe UI"/>
          <w:color w:val="3A4F66"/>
          <w:sz w:val="24"/>
          <w:szCs w:val="24"/>
          <w:lang w:eastAsia="id-ID"/>
        </w:rPr>
        <w:t> (kerugian diakui setelah terjadi). Misalnya, bank Eropa seperti HSBC bisa jadi mencadangkan kerugian kredit lebih awal dibandingkan bank AS seperti JPMorgan. Hal ini memengaruhi perbandingan profitabilitas.</w:t>
      </w:r>
    </w:p>
    <w:p w:rsidR="007B517D" w:rsidRPr="007B517D" w:rsidRDefault="007B517D" w:rsidP="001B24E7">
      <w:pPr>
        <w:numPr>
          <w:ilvl w:val="0"/>
          <w:numId w:val="16"/>
        </w:num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b/>
          <w:bCs/>
          <w:color w:val="3A4F66"/>
          <w:sz w:val="24"/>
          <w:szCs w:val="24"/>
          <w:lang w:eastAsia="id-ID"/>
        </w:rPr>
        <w:t>Dampak Global dan Tantangan Konvergensi</w:t>
      </w: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Lebih dari 140 negara mengadopsi IFRS, sementara GAAP terutama digunakan di AS. Perbedaan standar ini mengharuskan perusahaan multinasional seperti Microsoft menyusun dua versi laporan keuangan, yang meningkatkan biaya kepatuhan. Investor global juga menghadapi tantangan membandingkan kinerja perusahaan AS (GAAP) dan Eropa (IFRS). Meski FASB dan IASB berupaya menyelaraskan standar (misalnya, dalam pengakuan pendapatan ASC 606/IFRS 15), perbedaan filosofi </w:t>
      </w:r>
      <w:r w:rsidRPr="007B517D">
        <w:rPr>
          <w:rFonts w:ascii="Segoe UI" w:eastAsia="Times New Roman" w:hAnsi="Segoe UI" w:cs="Segoe UI"/>
          <w:i/>
          <w:iCs/>
          <w:color w:val="3A4F66"/>
          <w:sz w:val="24"/>
          <w:szCs w:val="24"/>
          <w:lang w:eastAsia="id-ID"/>
        </w:rPr>
        <w:t>principles</w:t>
      </w:r>
      <w:r w:rsidRPr="007B517D">
        <w:rPr>
          <w:rFonts w:ascii="Segoe UI" w:eastAsia="Times New Roman" w:hAnsi="Segoe UI" w:cs="Segoe UI"/>
          <w:color w:val="3A4F66"/>
          <w:sz w:val="24"/>
          <w:szCs w:val="24"/>
          <w:lang w:eastAsia="id-ID"/>
        </w:rPr>
        <w:t> vs </w:t>
      </w:r>
      <w:r w:rsidRPr="007B517D">
        <w:rPr>
          <w:rFonts w:ascii="Segoe UI" w:eastAsia="Times New Roman" w:hAnsi="Segoe UI" w:cs="Segoe UI"/>
          <w:i/>
          <w:iCs/>
          <w:color w:val="3A4F66"/>
          <w:sz w:val="24"/>
          <w:szCs w:val="24"/>
          <w:lang w:eastAsia="id-ID"/>
        </w:rPr>
        <w:t>rules</w:t>
      </w:r>
      <w:r w:rsidRPr="007B517D">
        <w:rPr>
          <w:rFonts w:ascii="Segoe UI" w:eastAsia="Times New Roman" w:hAnsi="Segoe UI" w:cs="Segoe UI"/>
          <w:color w:val="3A4F66"/>
          <w:sz w:val="24"/>
          <w:szCs w:val="24"/>
          <w:lang w:eastAsia="id-ID"/>
        </w:rPr>
        <w:t> tetap menjadi hambatan.</w:t>
      </w:r>
    </w:p>
    <w:p w:rsidR="007B517D" w:rsidRPr="007B517D" w:rsidRDefault="007B517D" w:rsidP="001B24E7">
      <w:pPr>
        <w:shd w:val="clear" w:color="auto" w:fill="FAFBFC"/>
        <w:spacing w:after="0" w:line="360" w:lineRule="auto"/>
        <w:jc w:val="both"/>
        <w:outlineLvl w:val="2"/>
        <w:rPr>
          <w:rFonts w:ascii="var(--theme-font-family)" w:eastAsia="Times New Roman" w:hAnsi="var(--theme-font-family)" w:cs="Segoe UI"/>
          <w:b/>
          <w:bCs/>
          <w:color w:val="3A4F66"/>
          <w:sz w:val="27"/>
          <w:szCs w:val="27"/>
          <w:lang w:eastAsia="id-ID"/>
        </w:rPr>
      </w:pPr>
      <w:r w:rsidRPr="007B517D">
        <w:rPr>
          <w:rFonts w:ascii="var(--theme-font-family)" w:eastAsia="Times New Roman" w:hAnsi="var(--theme-font-family)" w:cs="Segoe UI"/>
          <w:b/>
          <w:bCs/>
          <w:i/>
          <w:iCs/>
          <w:color w:val="3A4F66"/>
          <w:sz w:val="27"/>
          <w:szCs w:val="27"/>
          <w:lang w:eastAsia="id-ID"/>
        </w:rPr>
        <w:t>What Are Examples of Implementation Differences</w:t>
      </w:r>
      <w:r w:rsidRPr="007B517D">
        <w:rPr>
          <w:rFonts w:ascii="var(--theme-font-family)" w:eastAsia="Times New Roman" w:hAnsi="var(--theme-font-family)" w:cs="Segoe UI"/>
          <w:b/>
          <w:bCs/>
          <w:color w:val="3A4F66"/>
          <w:sz w:val="27"/>
          <w:szCs w:val="27"/>
          <w:lang w:eastAsia="id-ID"/>
        </w:rPr>
        <w:t>?</w:t>
      </w: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Penerapan IFRS dan GAAP dalam penyusunan informasi keuangan harus didasarkan pada prinsip-prinsip yang mendasarinya sebagaimana telah disebutkan di atas. Prinsip-prinsip tersebut tentunya memiliki perbedaan satu sama lain. Perbedaan dalam implementasi IFRS dan GAAP tergambar dalam contoh berikut:</w:t>
      </w:r>
    </w:p>
    <w:p w:rsidR="007B517D" w:rsidRPr="007B517D" w:rsidRDefault="007B517D" w:rsidP="001B24E7">
      <w:pPr>
        <w:numPr>
          <w:ilvl w:val="0"/>
          <w:numId w:val="17"/>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color w:val="3A4F66"/>
          <w:sz w:val="24"/>
          <w:szCs w:val="24"/>
          <w:lang w:eastAsia="id-ID"/>
        </w:rPr>
        <w:t>Di Indonesia yang mengadopsi standar akuntansi IFRS, perusahaan yang mempunyai aset tetap misalkan gedung dapat mengakui dan mencatat peningkatan nilai gedung sebagai penyesuaian yang dilaporkan di dalam </w:t>
      </w:r>
      <w:r w:rsidRPr="007B517D">
        <w:rPr>
          <w:rFonts w:ascii="inherit" w:eastAsia="Times New Roman" w:hAnsi="inherit" w:cs="Segoe UI"/>
          <w:i/>
          <w:iCs/>
          <w:color w:val="3A4F66"/>
          <w:sz w:val="24"/>
          <w:szCs w:val="24"/>
          <w:lang w:eastAsia="id-ID"/>
        </w:rPr>
        <w:t>balance sheet</w:t>
      </w:r>
      <w:r w:rsidRPr="007B517D">
        <w:rPr>
          <w:rFonts w:ascii="inherit" w:eastAsia="Times New Roman" w:hAnsi="inherit" w:cs="Segoe UI"/>
          <w:color w:val="3A4F66"/>
          <w:sz w:val="24"/>
          <w:szCs w:val="24"/>
          <w:lang w:eastAsia="id-ID"/>
        </w:rPr>
        <w:t>. Sementara itu, dalam kasus yang sama, perusahaan yang berada di negara dengan pedoman GAAP, seperti Amerika Serikat tidak boleh mengakui dan mencatat peningkatan atas nilai gedung tersebut.</w:t>
      </w:r>
    </w:p>
    <w:p w:rsidR="007B517D" w:rsidRPr="007B517D" w:rsidRDefault="007B517D" w:rsidP="001B24E7">
      <w:pPr>
        <w:numPr>
          <w:ilvl w:val="0"/>
          <w:numId w:val="17"/>
        </w:numPr>
        <w:shd w:val="clear" w:color="auto" w:fill="FAFBFC"/>
        <w:spacing w:after="0" w:line="360" w:lineRule="auto"/>
        <w:jc w:val="both"/>
        <w:rPr>
          <w:rFonts w:ascii="inherit" w:eastAsia="Times New Roman" w:hAnsi="inherit" w:cs="Segoe UI"/>
          <w:color w:val="3A4F66"/>
          <w:sz w:val="24"/>
          <w:szCs w:val="24"/>
          <w:lang w:eastAsia="id-ID"/>
        </w:rPr>
      </w:pPr>
      <w:r w:rsidRPr="007B517D">
        <w:rPr>
          <w:rFonts w:ascii="inherit" w:eastAsia="Times New Roman" w:hAnsi="inherit" w:cs="Segoe UI"/>
          <w:color w:val="3A4F66"/>
          <w:sz w:val="24"/>
          <w:szCs w:val="24"/>
          <w:lang w:eastAsia="id-ID"/>
        </w:rPr>
        <w:lastRenderedPageBreak/>
        <w:t>Perusahaan-perusahaan yang ada di Amerika Serikat terbiasa menerapkan LIFO dalam perhitungan persediaan barang dagang karena menerapkan standar akuntansi GAAP. Di sisi lain, perusahaan yang beroperasi di negara dengan pedoman IFRS, termasuk Indonesia, hanya boleh menerapkan salah satu dari dua metode perhitungan persediaan barang dagang, yakni FIFO (</w:t>
      </w:r>
      <w:r w:rsidRPr="007B517D">
        <w:rPr>
          <w:rFonts w:ascii="inherit" w:eastAsia="Times New Roman" w:hAnsi="inherit" w:cs="Segoe UI"/>
          <w:i/>
          <w:iCs/>
          <w:color w:val="3A4F66"/>
          <w:sz w:val="24"/>
          <w:szCs w:val="24"/>
          <w:lang w:eastAsia="id-ID"/>
        </w:rPr>
        <w:t>First in First Out</w:t>
      </w:r>
      <w:r w:rsidRPr="007B517D">
        <w:rPr>
          <w:rFonts w:ascii="inherit" w:eastAsia="Times New Roman" w:hAnsi="inherit" w:cs="Segoe UI"/>
          <w:color w:val="3A4F66"/>
          <w:sz w:val="24"/>
          <w:szCs w:val="24"/>
          <w:lang w:eastAsia="id-ID"/>
        </w:rPr>
        <w:t>) atau </w:t>
      </w:r>
      <w:r w:rsidRPr="007B517D">
        <w:rPr>
          <w:rFonts w:ascii="inherit" w:eastAsia="Times New Roman" w:hAnsi="inherit" w:cs="Segoe UI"/>
          <w:i/>
          <w:iCs/>
          <w:color w:val="3A4F66"/>
          <w:sz w:val="24"/>
          <w:szCs w:val="24"/>
          <w:lang w:eastAsia="id-ID"/>
        </w:rPr>
        <w:t>Weighted/Moving Average</w:t>
      </w:r>
      <w:r w:rsidRPr="007B517D">
        <w:rPr>
          <w:rFonts w:ascii="inherit" w:eastAsia="Times New Roman" w:hAnsi="inherit" w:cs="Segoe UI"/>
          <w:color w:val="3A4F66"/>
          <w:sz w:val="24"/>
          <w:szCs w:val="24"/>
          <w:lang w:eastAsia="id-ID"/>
        </w:rPr>
        <w:t>.</w:t>
      </w:r>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Nyatanya, perbedaan dari IFRS dan GAAP tidak hanya pada lokasi diterapkannya saja. Penjelasan mengenai IFRS dan GAAP yang telah dijabarkan di atas mengungkapkan bahwa IFRS dan GAAP tidak hanya berbeda dari sisi negara yang menerapkannya saja, tetapi juga hal mendasar lainnya yang berkaitan dengan prinsip dan perlakuan akuntansi terhadap aktivitas yang terjadi pada perusahaan. Jadi, jangan sampai tert</w:t>
      </w:r>
      <w:r w:rsidR="001B24E7">
        <w:rPr>
          <w:rFonts w:ascii="Segoe UI" w:eastAsia="Times New Roman" w:hAnsi="Segoe UI" w:cs="Segoe UI"/>
          <w:color w:val="3A4F66"/>
          <w:sz w:val="24"/>
          <w:szCs w:val="24"/>
          <w:lang w:eastAsia="id-ID"/>
        </w:rPr>
        <w:t xml:space="preserve">ukar antara dua standar ini, </w:t>
      </w:r>
      <w:bookmarkStart w:id="0" w:name="_GoBack"/>
      <w:bookmarkEnd w:id="0"/>
    </w:p>
    <w:p w:rsidR="007B517D" w:rsidRPr="007B517D" w:rsidRDefault="007B517D" w:rsidP="001B24E7">
      <w:pPr>
        <w:shd w:val="clear" w:color="auto" w:fill="FAFBFC"/>
        <w:spacing w:after="0" w:line="360" w:lineRule="auto"/>
        <w:jc w:val="both"/>
        <w:rPr>
          <w:rFonts w:ascii="Segoe UI" w:eastAsia="Times New Roman" w:hAnsi="Segoe UI" w:cs="Segoe UI"/>
          <w:color w:val="3A4F66"/>
          <w:sz w:val="24"/>
          <w:szCs w:val="24"/>
          <w:lang w:eastAsia="id-ID"/>
        </w:rPr>
      </w:pPr>
      <w:r w:rsidRPr="007B517D">
        <w:rPr>
          <w:rFonts w:ascii="Segoe UI" w:eastAsia="Times New Roman" w:hAnsi="Segoe UI" w:cs="Segoe UI"/>
          <w:color w:val="3A4F66"/>
          <w:sz w:val="24"/>
          <w:szCs w:val="24"/>
          <w:lang w:eastAsia="id-ID"/>
        </w:rPr>
        <w:t> </w:t>
      </w:r>
    </w:p>
    <w:p w:rsidR="007B517D" w:rsidRPr="007B517D" w:rsidRDefault="007B517D" w:rsidP="001B24E7">
      <w:pPr>
        <w:spacing w:after="0" w:line="360" w:lineRule="auto"/>
        <w:jc w:val="both"/>
        <w:rPr>
          <w:rFonts w:ascii="Arial" w:eastAsia="Times New Roman" w:hAnsi="Arial" w:cs="Arial"/>
          <w:sz w:val="24"/>
          <w:szCs w:val="24"/>
          <w:lang w:eastAsia="id-ID"/>
        </w:rPr>
      </w:pPr>
    </w:p>
    <w:p w:rsidR="000F2BF4" w:rsidRDefault="000F2BF4"/>
    <w:sectPr w:rsidR="000F2B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ar(--theme-font-family)">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B7AA7"/>
    <w:multiLevelType w:val="multilevel"/>
    <w:tmpl w:val="74EAD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ED0BE4"/>
    <w:multiLevelType w:val="multilevel"/>
    <w:tmpl w:val="D20A4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8914FC"/>
    <w:multiLevelType w:val="multilevel"/>
    <w:tmpl w:val="6EBED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7C18B1"/>
    <w:multiLevelType w:val="multilevel"/>
    <w:tmpl w:val="C1FA1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E76880"/>
    <w:multiLevelType w:val="multilevel"/>
    <w:tmpl w:val="7320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D40C8C"/>
    <w:multiLevelType w:val="multilevel"/>
    <w:tmpl w:val="1A1AD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4F05D9"/>
    <w:multiLevelType w:val="multilevel"/>
    <w:tmpl w:val="EB329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B07504"/>
    <w:multiLevelType w:val="multilevel"/>
    <w:tmpl w:val="F70AD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540AF8"/>
    <w:multiLevelType w:val="multilevel"/>
    <w:tmpl w:val="035A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A125EA"/>
    <w:multiLevelType w:val="multilevel"/>
    <w:tmpl w:val="74205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DFE3559"/>
    <w:multiLevelType w:val="multilevel"/>
    <w:tmpl w:val="9F82E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8A0B73"/>
    <w:multiLevelType w:val="multilevel"/>
    <w:tmpl w:val="B42C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A6A13E5"/>
    <w:multiLevelType w:val="multilevel"/>
    <w:tmpl w:val="DF1E0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F181BC4"/>
    <w:multiLevelType w:val="multilevel"/>
    <w:tmpl w:val="D4FC8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D565F3"/>
    <w:multiLevelType w:val="multilevel"/>
    <w:tmpl w:val="E836E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D070D80"/>
    <w:multiLevelType w:val="multilevel"/>
    <w:tmpl w:val="5088D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DC21E99"/>
    <w:multiLevelType w:val="multilevel"/>
    <w:tmpl w:val="09EAA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7"/>
  </w:num>
  <w:num w:numId="3">
    <w:abstractNumId w:val="2"/>
  </w:num>
  <w:num w:numId="4">
    <w:abstractNumId w:val="14"/>
  </w:num>
  <w:num w:numId="5">
    <w:abstractNumId w:val="13"/>
  </w:num>
  <w:num w:numId="6">
    <w:abstractNumId w:val="3"/>
  </w:num>
  <w:num w:numId="7">
    <w:abstractNumId w:val="9"/>
  </w:num>
  <w:num w:numId="8">
    <w:abstractNumId w:val="15"/>
  </w:num>
  <w:num w:numId="9">
    <w:abstractNumId w:val="0"/>
  </w:num>
  <w:num w:numId="10">
    <w:abstractNumId w:val="11"/>
  </w:num>
  <w:num w:numId="11">
    <w:abstractNumId w:val="1"/>
  </w:num>
  <w:num w:numId="12">
    <w:abstractNumId w:val="6"/>
  </w:num>
  <w:num w:numId="13">
    <w:abstractNumId w:val="8"/>
  </w:num>
  <w:num w:numId="14">
    <w:abstractNumId w:val="10"/>
  </w:num>
  <w:num w:numId="15">
    <w:abstractNumId w:val="5"/>
  </w:num>
  <w:num w:numId="16">
    <w:abstractNumId w:val="4"/>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17D"/>
    <w:rsid w:val="000F2BF4"/>
    <w:rsid w:val="001B24E7"/>
    <w:rsid w:val="007B517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10578B-0120-4705-90FE-0FF4F5306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B51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3">
    <w:name w:val="heading 3"/>
    <w:basedOn w:val="Normal"/>
    <w:link w:val="Heading3Char"/>
    <w:uiPriority w:val="9"/>
    <w:qFormat/>
    <w:rsid w:val="007B517D"/>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B517D"/>
    <w:rPr>
      <w:b/>
      <w:bCs/>
    </w:rPr>
  </w:style>
  <w:style w:type="character" w:styleId="Hyperlink">
    <w:name w:val="Hyperlink"/>
    <w:basedOn w:val="DefaultParagraphFont"/>
    <w:uiPriority w:val="99"/>
    <w:semiHidden/>
    <w:unhideWhenUsed/>
    <w:rsid w:val="007B517D"/>
    <w:rPr>
      <w:color w:val="0000FF"/>
      <w:u w:val="single"/>
    </w:rPr>
  </w:style>
  <w:style w:type="character" w:customStyle="1" w:styleId="inqyif">
    <w:name w:val="inqyif"/>
    <w:basedOn w:val="DefaultParagraphFont"/>
    <w:rsid w:val="007B517D"/>
  </w:style>
  <w:style w:type="character" w:styleId="Emphasis">
    <w:name w:val="Emphasis"/>
    <w:basedOn w:val="DefaultParagraphFont"/>
    <w:uiPriority w:val="20"/>
    <w:qFormat/>
    <w:rsid w:val="007B517D"/>
    <w:rPr>
      <w:i/>
      <w:iCs/>
    </w:rPr>
  </w:style>
  <w:style w:type="character" w:customStyle="1" w:styleId="esfokc">
    <w:name w:val="esfokc"/>
    <w:basedOn w:val="DefaultParagraphFont"/>
    <w:rsid w:val="007B517D"/>
  </w:style>
  <w:style w:type="character" w:customStyle="1" w:styleId="hxiqcc">
    <w:name w:val="hxiqcc"/>
    <w:basedOn w:val="DefaultParagraphFont"/>
    <w:rsid w:val="007B517D"/>
  </w:style>
  <w:style w:type="character" w:customStyle="1" w:styleId="Heading1Char">
    <w:name w:val="Heading 1 Char"/>
    <w:basedOn w:val="DefaultParagraphFont"/>
    <w:link w:val="Heading1"/>
    <w:uiPriority w:val="9"/>
    <w:rsid w:val="007B517D"/>
    <w:rPr>
      <w:rFonts w:ascii="Times New Roman" w:eastAsia="Times New Roman" w:hAnsi="Times New Roman" w:cs="Times New Roman"/>
      <w:b/>
      <w:bCs/>
      <w:kern w:val="36"/>
      <w:sz w:val="48"/>
      <w:szCs w:val="48"/>
      <w:lang w:eastAsia="id-ID"/>
    </w:rPr>
  </w:style>
  <w:style w:type="character" w:customStyle="1" w:styleId="Heading3Char">
    <w:name w:val="Heading 3 Char"/>
    <w:basedOn w:val="DefaultParagraphFont"/>
    <w:link w:val="Heading3"/>
    <w:uiPriority w:val="9"/>
    <w:rsid w:val="007B517D"/>
    <w:rPr>
      <w:rFonts w:ascii="Times New Roman" w:eastAsia="Times New Roman" w:hAnsi="Times New Roman" w:cs="Times New Roman"/>
      <w:b/>
      <w:bCs/>
      <w:sz w:val="27"/>
      <w:szCs w:val="27"/>
      <w:lang w:eastAsia="id-ID"/>
    </w:rPr>
  </w:style>
  <w:style w:type="paragraph" w:styleId="NormalWeb">
    <w:name w:val="Normal (Web)"/>
    <w:basedOn w:val="Normal"/>
    <w:uiPriority w:val="99"/>
    <w:semiHidden/>
    <w:unhideWhenUsed/>
    <w:rsid w:val="007B517D"/>
    <w:pPr>
      <w:spacing w:before="100" w:beforeAutospacing="1" w:after="100" w:afterAutospacing="1" w:line="240" w:lineRule="auto"/>
    </w:pPr>
    <w:rPr>
      <w:rFonts w:ascii="Times New Roman" w:eastAsia="Times New Roman" w:hAnsi="Times New Roman" w:cs="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1363817">
      <w:bodyDiv w:val="1"/>
      <w:marLeft w:val="0"/>
      <w:marRight w:val="0"/>
      <w:marTop w:val="0"/>
      <w:marBottom w:val="0"/>
      <w:divBdr>
        <w:top w:val="none" w:sz="0" w:space="0" w:color="auto"/>
        <w:left w:val="none" w:sz="0" w:space="0" w:color="auto"/>
        <w:bottom w:val="none" w:sz="0" w:space="0" w:color="auto"/>
        <w:right w:val="none" w:sz="0" w:space="0" w:color="auto"/>
      </w:divBdr>
      <w:divsChild>
        <w:div w:id="2088846331">
          <w:marLeft w:val="0"/>
          <w:marRight w:val="0"/>
          <w:marTop w:val="0"/>
          <w:marBottom w:val="0"/>
          <w:divBdr>
            <w:top w:val="none" w:sz="0" w:space="0" w:color="auto"/>
            <w:left w:val="none" w:sz="0" w:space="0" w:color="auto"/>
            <w:bottom w:val="none" w:sz="0" w:space="0" w:color="auto"/>
            <w:right w:val="none" w:sz="0" w:space="0" w:color="auto"/>
          </w:divBdr>
        </w:div>
        <w:div w:id="1868176581">
          <w:marLeft w:val="0"/>
          <w:marRight w:val="0"/>
          <w:marTop w:val="0"/>
          <w:marBottom w:val="0"/>
          <w:divBdr>
            <w:top w:val="none" w:sz="0" w:space="0" w:color="auto"/>
            <w:left w:val="none" w:sz="0" w:space="0" w:color="auto"/>
            <w:bottom w:val="none" w:sz="0" w:space="0" w:color="auto"/>
            <w:right w:val="none" w:sz="0" w:space="0" w:color="auto"/>
          </w:divBdr>
        </w:div>
      </w:divsChild>
    </w:div>
    <w:div w:id="1460952321">
      <w:bodyDiv w:val="1"/>
      <w:marLeft w:val="0"/>
      <w:marRight w:val="0"/>
      <w:marTop w:val="0"/>
      <w:marBottom w:val="0"/>
      <w:divBdr>
        <w:top w:val="none" w:sz="0" w:space="0" w:color="auto"/>
        <w:left w:val="none" w:sz="0" w:space="0" w:color="auto"/>
        <w:bottom w:val="none" w:sz="0" w:space="0" w:color="auto"/>
        <w:right w:val="none" w:sz="0" w:space="0" w:color="auto"/>
      </w:divBdr>
      <w:divsChild>
        <w:div w:id="583877555">
          <w:marLeft w:val="0"/>
          <w:marRight w:val="0"/>
          <w:marTop w:val="0"/>
          <w:marBottom w:val="0"/>
          <w:divBdr>
            <w:top w:val="none" w:sz="0" w:space="0" w:color="auto"/>
            <w:left w:val="none" w:sz="0" w:space="0" w:color="auto"/>
            <w:bottom w:val="none" w:sz="0" w:space="0" w:color="auto"/>
            <w:right w:val="none" w:sz="0" w:space="0" w:color="auto"/>
          </w:divBdr>
          <w:divsChild>
            <w:div w:id="1573807178">
              <w:marLeft w:val="0"/>
              <w:marRight w:val="0"/>
              <w:marTop w:val="0"/>
              <w:marBottom w:val="0"/>
              <w:divBdr>
                <w:top w:val="none" w:sz="0" w:space="0" w:color="auto"/>
                <w:left w:val="none" w:sz="0" w:space="0" w:color="auto"/>
                <w:bottom w:val="none" w:sz="0" w:space="0" w:color="auto"/>
                <w:right w:val="none" w:sz="0" w:space="0" w:color="auto"/>
              </w:divBdr>
              <w:divsChild>
                <w:div w:id="969169230">
                  <w:marLeft w:val="0"/>
                  <w:marRight w:val="0"/>
                  <w:marTop w:val="0"/>
                  <w:marBottom w:val="240"/>
                  <w:divBdr>
                    <w:top w:val="none" w:sz="0" w:space="0" w:color="auto"/>
                    <w:left w:val="none" w:sz="0" w:space="0" w:color="auto"/>
                    <w:bottom w:val="none" w:sz="0" w:space="0" w:color="auto"/>
                    <w:right w:val="none" w:sz="0" w:space="0" w:color="auto"/>
                  </w:divBdr>
                </w:div>
                <w:div w:id="594747753">
                  <w:marLeft w:val="0"/>
                  <w:marRight w:val="0"/>
                  <w:marTop w:val="180"/>
                  <w:marBottom w:val="240"/>
                  <w:divBdr>
                    <w:top w:val="none" w:sz="0" w:space="0" w:color="auto"/>
                    <w:left w:val="none" w:sz="0" w:space="0" w:color="auto"/>
                    <w:bottom w:val="none" w:sz="0" w:space="0" w:color="auto"/>
                    <w:right w:val="none" w:sz="0" w:space="0" w:color="auto"/>
                  </w:divBdr>
                </w:div>
                <w:div w:id="2107336513">
                  <w:marLeft w:val="0"/>
                  <w:marRight w:val="0"/>
                  <w:marTop w:val="0"/>
                  <w:marBottom w:val="0"/>
                  <w:divBdr>
                    <w:top w:val="none" w:sz="0" w:space="0" w:color="auto"/>
                    <w:left w:val="none" w:sz="0" w:space="0" w:color="auto"/>
                    <w:bottom w:val="none" w:sz="0" w:space="0" w:color="auto"/>
                    <w:right w:val="none" w:sz="0" w:space="0" w:color="auto"/>
                  </w:divBdr>
                  <w:divsChild>
                    <w:div w:id="1445689863">
                      <w:marLeft w:val="0"/>
                      <w:marRight w:val="0"/>
                      <w:marTop w:val="360"/>
                      <w:marBottom w:val="180"/>
                      <w:divBdr>
                        <w:top w:val="none" w:sz="0" w:space="0" w:color="auto"/>
                        <w:left w:val="none" w:sz="0" w:space="0" w:color="auto"/>
                        <w:bottom w:val="none" w:sz="0" w:space="0" w:color="auto"/>
                        <w:right w:val="none" w:sz="0" w:space="0" w:color="auto"/>
                      </w:divBdr>
                    </w:div>
                  </w:divsChild>
                </w:div>
                <w:div w:id="1170557654">
                  <w:marLeft w:val="0"/>
                  <w:marRight w:val="0"/>
                  <w:marTop w:val="0"/>
                  <w:marBottom w:val="0"/>
                  <w:divBdr>
                    <w:top w:val="none" w:sz="0" w:space="0" w:color="auto"/>
                    <w:left w:val="none" w:sz="0" w:space="0" w:color="auto"/>
                    <w:bottom w:val="none" w:sz="0" w:space="0" w:color="auto"/>
                    <w:right w:val="none" w:sz="0" w:space="0" w:color="auto"/>
                  </w:divBdr>
                </w:div>
                <w:div w:id="62409975">
                  <w:marLeft w:val="0"/>
                  <w:marRight w:val="0"/>
                  <w:marTop w:val="0"/>
                  <w:marBottom w:val="0"/>
                  <w:divBdr>
                    <w:top w:val="none" w:sz="0" w:space="0" w:color="auto"/>
                    <w:left w:val="none" w:sz="0" w:space="0" w:color="auto"/>
                    <w:bottom w:val="none" w:sz="0" w:space="0" w:color="auto"/>
                    <w:right w:val="none" w:sz="0" w:space="0" w:color="auto"/>
                  </w:divBdr>
                </w:div>
                <w:div w:id="790828843">
                  <w:marLeft w:val="0"/>
                  <w:marRight w:val="0"/>
                  <w:marTop w:val="0"/>
                  <w:marBottom w:val="0"/>
                  <w:divBdr>
                    <w:top w:val="none" w:sz="0" w:space="0" w:color="auto"/>
                    <w:left w:val="none" w:sz="0" w:space="0" w:color="auto"/>
                    <w:bottom w:val="none" w:sz="0" w:space="0" w:color="auto"/>
                    <w:right w:val="none" w:sz="0" w:space="0" w:color="auto"/>
                  </w:divBdr>
                </w:div>
                <w:div w:id="1498303791">
                  <w:marLeft w:val="0"/>
                  <w:marRight w:val="0"/>
                  <w:marTop w:val="0"/>
                  <w:marBottom w:val="0"/>
                  <w:divBdr>
                    <w:top w:val="none" w:sz="0" w:space="0" w:color="auto"/>
                    <w:left w:val="none" w:sz="0" w:space="0" w:color="auto"/>
                    <w:bottom w:val="none" w:sz="0" w:space="0" w:color="auto"/>
                    <w:right w:val="none" w:sz="0" w:space="0" w:color="auto"/>
                  </w:divBdr>
                  <w:divsChild>
                    <w:div w:id="1673072093">
                      <w:marLeft w:val="0"/>
                      <w:marRight w:val="0"/>
                      <w:marTop w:val="360"/>
                      <w:marBottom w:val="180"/>
                      <w:divBdr>
                        <w:top w:val="none" w:sz="0" w:space="0" w:color="auto"/>
                        <w:left w:val="none" w:sz="0" w:space="0" w:color="auto"/>
                        <w:bottom w:val="none" w:sz="0" w:space="0" w:color="auto"/>
                        <w:right w:val="none" w:sz="0" w:space="0" w:color="auto"/>
                      </w:divBdr>
                    </w:div>
                  </w:divsChild>
                </w:div>
                <w:div w:id="1679500926">
                  <w:marLeft w:val="0"/>
                  <w:marRight w:val="0"/>
                  <w:marTop w:val="0"/>
                  <w:marBottom w:val="0"/>
                  <w:divBdr>
                    <w:top w:val="none" w:sz="0" w:space="0" w:color="auto"/>
                    <w:left w:val="none" w:sz="0" w:space="0" w:color="auto"/>
                    <w:bottom w:val="none" w:sz="0" w:space="0" w:color="auto"/>
                    <w:right w:val="none" w:sz="0" w:space="0" w:color="auto"/>
                  </w:divBdr>
                </w:div>
                <w:div w:id="953094749">
                  <w:marLeft w:val="0"/>
                  <w:marRight w:val="0"/>
                  <w:marTop w:val="0"/>
                  <w:marBottom w:val="0"/>
                  <w:divBdr>
                    <w:top w:val="none" w:sz="0" w:space="0" w:color="auto"/>
                    <w:left w:val="none" w:sz="0" w:space="0" w:color="auto"/>
                    <w:bottom w:val="none" w:sz="0" w:space="0" w:color="auto"/>
                    <w:right w:val="none" w:sz="0" w:space="0" w:color="auto"/>
                  </w:divBdr>
                </w:div>
                <w:div w:id="907809727">
                  <w:marLeft w:val="0"/>
                  <w:marRight w:val="0"/>
                  <w:marTop w:val="0"/>
                  <w:marBottom w:val="0"/>
                  <w:divBdr>
                    <w:top w:val="none" w:sz="0" w:space="0" w:color="auto"/>
                    <w:left w:val="none" w:sz="0" w:space="0" w:color="auto"/>
                    <w:bottom w:val="none" w:sz="0" w:space="0" w:color="auto"/>
                    <w:right w:val="none" w:sz="0" w:space="0" w:color="auto"/>
                  </w:divBdr>
                  <w:divsChild>
                    <w:div w:id="13924208">
                      <w:marLeft w:val="0"/>
                      <w:marRight w:val="0"/>
                      <w:marTop w:val="360"/>
                      <w:marBottom w:val="180"/>
                      <w:divBdr>
                        <w:top w:val="none" w:sz="0" w:space="0" w:color="auto"/>
                        <w:left w:val="none" w:sz="0" w:space="0" w:color="auto"/>
                        <w:bottom w:val="none" w:sz="0" w:space="0" w:color="auto"/>
                        <w:right w:val="none" w:sz="0" w:space="0" w:color="auto"/>
                      </w:divBdr>
                    </w:div>
                  </w:divsChild>
                </w:div>
                <w:div w:id="1155295007">
                  <w:marLeft w:val="0"/>
                  <w:marRight w:val="0"/>
                  <w:marTop w:val="0"/>
                  <w:marBottom w:val="0"/>
                  <w:divBdr>
                    <w:top w:val="none" w:sz="0" w:space="0" w:color="auto"/>
                    <w:left w:val="none" w:sz="0" w:space="0" w:color="auto"/>
                    <w:bottom w:val="none" w:sz="0" w:space="0" w:color="auto"/>
                    <w:right w:val="none" w:sz="0" w:space="0" w:color="auto"/>
                  </w:divBdr>
                </w:div>
                <w:div w:id="81094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450444">
          <w:marLeft w:val="0"/>
          <w:marRight w:val="0"/>
          <w:marTop w:val="0"/>
          <w:marBottom w:val="0"/>
          <w:divBdr>
            <w:top w:val="none" w:sz="0" w:space="0" w:color="auto"/>
            <w:left w:val="none" w:sz="0" w:space="0" w:color="auto"/>
            <w:bottom w:val="none" w:sz="0" w:space="0" w:color="auto"/>
            <w:right w:val="none" w:sz="0" w:space="0" w:color="auto"/>
          </w:divBdr>
          <w:divsChild>
            <w:div w:id="2019691480">
              <w:marLeft w:val="0"/>
              <w:marRight w:val="0"/>
              <w:marTop w:val="0"/>
              <w:marBottom w:val="0"/>
              <w:divBdr>
                <w:top w:val="none" w:sz="0" w:space="0" w:color="auto"/>
                <w:left w:val="none" w:sz="0" w:space="0" w:color="auto"/>
                <w:bottom w:val="none" w:sz="0" w:space="0" w:color="auto"/>
                <w:right w:val="none" w:sz="0" w:space="0" w:color="auto"/>
              </w:divBdr>
              <w:divsChild>
                <w:div w:id="10766451">
                  <w:marLeft w:val="0"/>
                  <w:marRight w:val="0"/>
                  <w:marTop w:val="0"/>
                  <w:marBottom w:val="0"/>
                  <w:divBdr>
                    <w:top w:val="none" w:sz="0" w:space="0" w:color="auto"/>
                    <w:left w:val="none" w:sz="0" w:space="0" w:color="auto"/>
                    <w:bottom w:val="none" w:sz="0" w:space="0" w:color="auto"/>
                    <w:right w:val="none" w:sz="0" w:space="0" w:color="auto"/>
                  </w:divBdr>
                  <w:divsChild>
                    <w:div w:id="1625846178">
                      <w:marLeft w:val="0"/>
                      <w:marRight w:val="0"/>
                      <w:marTop w:val="0"/>
                      <w:marBottom w:val="0"/>
                      <w:divBdr>
                        <w:top w:val="none" w:sz="0" w:space="0" w:color="auto"/>
                        <w:left w:val="none" w:sz="0" w:space="0" w:color="auto"/>
                        <w:bottom w:val="single" w:sz="6" w:space="0" w:color="D2D2D2"/>
                        <w:right w:val="none" w:sz="0" w:space="0" w:color="auto"/>
                      </w:divBdr>
                      <w:divsChild>
                        <w:div w:id="392236659">
                          <w:marLeft w:val="0"/>
                          <w:marRight w:val="0"/>
                          <w:marTop w:val="0"/>
                          <w:marBottom w:val="0"/>
                          <w:divBdr>
                            <w:top w:val="none" w:sz="0" w:space="0" w:color="auto"/>
                            <w:left w:val="none" w:sz="0" w:space="0" w:color="auto"/>
                            <w:bottom w:val="none" w:sz="0" w:space="0" w:color="auto"/>
                            <w:right w:val="none" w:sz="0" w:space="0" w:color="auto"/>
                          </w:divBdr>
                          <w:divsChild>
                            <w:div w:id="1099520704">
                              <w:marLeft w:val="0"/>
                              <w:marRight w:val="0"/>
                              <w:marTop w:val="0"/>
                              <w:marBottom w:val="0"/>
                              <w:divBdr>
                                <w:top w:val="none" w:sz="0" w:space="0" w:color="auto"/>
                                <w:left w:val="none" w:sz="0" w:space="0" w:color="auto"/>
                                <w:bottom w:val="none" w:sz="0" w:space="0" w:color="auto"/>
                                <w:right w:val="none" w:sz="0" w:space="0" w:color="auto"/>
                              </w:divBdr>
                              <w:divsChild>
                                <w:div w:id="1120488161">
                                  <w:marLeft w:val="0"/>
                                  <w:marRight w:val="0"/>
                                  <w:marTop w:val="0"/>
                                  <w:marBottom w:val="0"/>
                                  <w:divBdr>
                                    <w:top w:val="none" w:sz="0" w:space="0" w:color="auto"/>
                                    <w:left w:val="none" w:sz="0" w:space="0" w:color="auto"/>
                                    <w:bottom w:val="none" w:sz="0" w:space="0" w:color="auto"/>
                                    <w:right w:val="none" w:sz="0" w:space="0" w:color="auto"/>
                                  </w:divBdr>
                                  <w:divsChild>
                                    <w:div w:id="1705642522">
                                      <w:marLeft w:val="0"/>
                                      <w:marRight w:val="0"/>
                                      <w:marTop w:val="0"/>
                                      <w:marBottom w:val="0"/>
                                      <w:divBdr>
                                        <w:top w:val="none" w:sz="0" w:space="0" w:color="auto"/>
                                        <w:left w:val="none" w:sz="0" w:space="0" w:color="auto"/>
                                        <w:bottom w:val="single" w:sz="6" w:space="0" w:color="D2D2D2"/>
                                        <w:right w:val="none" w:sz="0" w:space="0" w:color="auto"/>
                                      </w:divBdr>
                                      <w:divsChild>
                                        <w:div w:id="1431389471">
                                          <w:marLeft w:val="0"/>
                                          <w:marRight w:val="0"/>
                                          <w:marTop w:val="0"/>
                                          <w:marBottom w:val="0"/>
                                          <w:divBdr>
                                            <w:top w:val="none" w:sz="0" w:space="0" w:color="auto"/>
                                            <w:left w:val="none" w:sz="0" w:space="0" w:color="auto"/>
                                            <w:bottom w:val="none" w:sz="0" w:space="0" w:color="auto"/>
                                            <w:right w:val="none" w:sz="0" w:space="0" w:color="auto"/>
                                          </w:divBdr>
                                        </w:div>
                                      </w:divsChild>
                                    </w:div>
                                    <w:div w:id="83038454">
                                      <w:marLeft w:val="75"/>
                                      <w:marRight w:val="0"/>
                                      <w:marTop w:val="0"/>
                                      <w:marBottom w:val="0"/>
                                      <w:divBdr>
                                        <w:top w:val="none" w:sz="0" w:space="0" w:color="auto"/>
                                        <w:left w:val="none" w:sz="0" w:space="0" w:color="auto"/>
                                        <w:bottom w:val="none" w:sz="0" w:space="0" w:color="auto"/>
                                        <w:right w:val="none" w:sz="0" w:space="0" w:color="auto"/>
                                      </w:divBdr>
                                    </w:div>
                                  </w:divsChild>
                                </w:div>
                                <w:div w:id="1289780755">
                                  <w:marLeft w:val="0"/>
                                  <w:marRight w:val="0"/>
                                  <w:marTop w:val="0"/>
                                  <w:marBottom w:val="0"/>
                                  <w:divBdr>
                                    <w:top w:val="none" w:sz="0" w:space="0" w:color="auto"/>
                                    <w:left w:val="none" w:sz="0" w:space="0" w:color="auto"/>
                                    <w:bottom w:val="none" w:sz="0" w:space="0" w:color="auto"/>
                                    <w:right w:val="none" w:sz="0" w:space="0" w:color="auto"/>
                                  </w:divBdr>
                                  <w:divsChild>
                                    <w:div w:id="605967318">
                                      <w:marLeft w:val="0"/>
                                      <w:marRight w:val="0"/>
                                      <w:marTop w:val="0"/>
                                      <w:marBottom w:val="0"/>
                                      <w:divBdr>
                                        <w:top w:val="none" w:sz="0" w:space="0" w:color="auto"/>
                                        <w:left w:val="none" w:sz="0" w:space="0" w:color="auto"/>
                                        <w:bottom w:val="none" w:sz="0" w:space="0" w:color="auto"/>
                                        <w:right w:val="none" w:sz="0" w:space="0" w:color="auto"/>
                                      </w:divBdr>
                                      <w:divsChild>
                                        <w:div w:id="948007540">
                                          <w:marLeft w:val="0"/>
                                          <w:marRight w:val="0"/>
                                          <w:marTop w:val="0"/>
                                          <w:marBottom w:val="0"/>
                                          <w:divBdr>
                                            <w:top w:val="none" w:sz="0" w:space="0" w:color="auto"/>
                                            <w:left w:val="none" w:sz="0" w:space="0" w:color="auto"/>
                                            <w:bottom w:val="none" w:sz="0" w:space="0" w:color="auto"/>
                                            <w:right w:val="none" w:sz="0" w:space="0" w:color="auto"/>
                                          </w:divBdr>
                                        </w:div>
                                        <w:div w:id="3636090">
                                          <w:marLeft w:val="0"/>
                                          <w:marRight w:val="0"/>
                                          <w:marTop w:val="0"/>
                                          <w:marBottom w:val="0"/>
                                          <w:divBdr>
                                            <w:top w:val="none" w:sz="0" w:space="0" w:color="auto"/>
                                            <w:left w:val="none" w:sz="0" w:space="0" w:color="auto"/>
                                            <w:bottom w:val="none" w:sz="0" w:space="0" w:color="auto"/>
                                            <w:right w:val="none" w:sz="0" w:space="0" w:color="auto"/>
                                          </w:divBdr>
                                        </w:div>
                                      </w:divsChild>
                                    </w:div>
                                    <w:div w:id="165853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eb.iaiglobal.or.i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2117</Words>
  <Characters>12072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2026-10-01T23:46:00Z</dcterms:created>
  <dcterms:modified xsi:type="dcterms:W3CDTF">2026-10-01T23:46:00Z</dcterms:modified>
</cp:coreProperties>
</file>